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F9" w:rsidRPr="00F4194E" w:rsidRDefault="00CB53F9" w:rsidP="00CB53F9">
      <w:pPr>
        <w:spacing w:after="0" w:line="240" w:lineRule="auto"/>
        <w:rPr>
          <w:szCs w:val="20"/>
        </w:rPr>
      </w:pPr>
      <w:r w:rsidRPr="00F4194E">
        <w:rPr>
          <w:szCs w:val="20"/>
        </w:rPr>
        <w:t>Na</w:t>
      </w:r>
      <w:r w:rsidR="00070930" w:rsidRPr="00F4194E">
        <w:rPr>
          <w:szCs w:val="20"/>
        </w:rPr>
        <w:t>me der Firma &amp; Lieferantennummer</w:t>
      </w:r>
      <w:r w:rsidRPr="00F4194E">
        <w:rPr>
          <w:szCs w:val="20"/>
        </w:rPr>
        <w:t>:</w:t>
      </w:r>
      <w:r w:rsidR="00070930" w:rsidRPr="00F4194E">
        <w:rPr>
          <w:szCs w:val="20"/>
        </w:rPr>
        <w:tab/>
      </w:r>
      <w:r w:rsidR="00F4194E" w:rsidRPr="00F4194E">
        <w:rPr>
          <w:szCs w:val="20"/>
        </w:rPr>
        <w:tab/>
      </w:r>
      <w:r w:rsidR="00855DAF" w:rsidRPr="00F4194E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0930" w:rsidRPr="00F4194E">
        <w:rPr>
          <w:szCs w:val="20"/>
        </w:rPr>
        <w:instrText xml:space="preserve"> FORMTEXT </w:instrText>
      </w:r>
      <w:r w:rsidR="00855DAF" w:rsidRPr="00F4194E">
        <w:rPr>
          <w:szCs w:val="20"/>
        </w:rPr>
      </w:r>
      <w:r w:rsidR="00855DAF" w:rsidRPr="00F4194E">
        <w:rPr>
          <w:szCs w:val="20"/>
        </w:rPr>
        <w:fldChar w:fldCharType="separate"/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855DAF" w:rsidRPr="00F4194E">
        <w:rPr>
          <w:szCs w:val="20"/>
        </w:rPr>
        <w:fldChar w:fldCharType="end"/>
      </w:r>
      <w:bookmarkEnd w:id="0"/>
      <w:r w:rsidR="00070930" w:rsidRPr="00F4194E">
        <w:rPr>
          <w:szCs w:val="20"/>
        </w:rPr>
        <w:tab/>
      </w:r>
      <w:r w:rsidR="00855DAF" w:rsidRPr="00F4194E">
        <w:rPr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4194E" w:rsidRPr="00E90A1C">
        <w:rPr>
          <w:szCs w:val="20"/>
        </w:rPr>
        <w:instrText xml:space="preserve"> FORMTEXT </w:instrText>
      </w:r>
      <w:r w:rsidR="00855DAF" w:rsidRPr="00F4194E">
        <w:rPr>
          <w:szCs w:val="20"/>
          <w:lang w:val="en-US"/>
        </w:rPr>
      </w:r>
      <w:r w:rsidR="00855DAF" w:rsidRPr="00F4194E">
        <w:rPr>
          <w:szCs w:val="20"/>
          <w:lang w:val="en-US"/>
        </w:rPr>
        <w:fldChar w:fldCharType="separate"/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855DAF" w:rsidRPr="00F4194E">
        <w:rPr>
          <w:szCs w:val="20"/>
          <w:lang w:val="en-US"/>
        </w:rPr>
        <w:fldChar w:fldCharType="end"/>
      </w:r>
      <w:r w:rsidR="00174052" w:rsidRPr="00F4194E">
        <w:rPr>
          <w:szCs w:val="20"/>
        </w:rPr>
        <w:tab/>
      </w:r>
      <w:r w:rsidRPr="00F4194E">
        <w:rPr>
          <w:szCs w:val="20"/>
        </w:rPr>
        <w:t xml:space="preserve"> </w:t>
      </w:r>
    </w:p>
    <w:p w:rsidR="004B4F3F" w:rsidRPr="00F4194E" w:rsidRDefault="00070930" w:rsidP="00CB53F9">
      <w:pPr>
        <w:spacing w:after="0" w:line="240" w:lineRule="auto"/>
        <w:rPr>
          <w:i/>
          <w:szCs w:val="20"/>
        </w:rPr>
      </w:pPr>
      <w:r w:rsidRPr="00F4194E">
        <w:rPr>
          <w:i/>
          <w:szCs w:val="20"/>
        </w:rPr>
        <w:t>Company name &amp; supplier-ID</w:t>
      </w:r>
      <w:r w:rsidR="00CB53F9" w:rsidRPr="00F4194E">
        <w:rPr>
          <w:i/>
          <w:szCs w:val="20"/>
        </w:rPr>
        <w:t>:</w:t>
      </w:r>
    </w:p>
    <w:p w:rsidR="00CB53F9" w:rsidRPr="00F4194E" w:rsidRDefault="00CB53F9" w:rsidP="00CB53F9">
      <w:pPr>
        <w:spacing w:after="0" w:line="240" w:lineRule="auto"/>
        <w:rPr>
          <w:i/>
          <w:szCs w:val="20"/>
        </w:rPr>
      </w:pPr>
    </w:p>
    <w:p w:rsidR="00726715" w:rsidRPr="00E47C28" w:rsidRDefault="00726715" w:rsidP="00726715">
      <w:pPr>
        <w:spacing w:after="0" w:line="240" w:lineRule="auto"/>
        <w:rPr>
          <w:sz w:val="18"/>
          <w:szCs w:val="18"/>
        </w:rPr>
      </w:pPr>
      <w:r w:rsidRPr="00E47C28">
        <w:rPr>
          <w:sz w:val="18"/>
          <w:szCs w:val="18"/>
        </w:rPr>
        <w:t>Die oben genannte Firma schließt mit Diehl</w:t>
      </w:r>
      <w:r w:rsidR="00000D4B" w:rsidRPr="00E47C28">
        <w:rPr>
          <w:sz w:val="18"/>
          <w:szCs w:val="18"/>
        </w:rPr>
        <w:t xml:space="preserve"> Aviation</w:t>
      </w:r>
      <w:r w:rsidRPr="00E47C28">
        <w:rPr>
          <w:sz w:val="18"/>
          <w:szCs w:val="18"/>
        </w:rPr>
        <w:t xml:space="preserve"> diese Qualitätssicherungsvereinbarung. Der nachstehend beschriebene Inhalt gilt als Abweichend zur </w:t>
      </w:r>
      <w:r w:rsidR="002911F6">
        <w:rPr>
          <w:sz w:val="18"/>
          <w:szCs w:val="18"/>
        </w:rPr>
        <w:t>GQRS</w:t>
      </w:r>
      <w:r w:rsidR="00E47C28" w:rsidRPr="00E47C28">
        <w:rPr>
          <w:sz w:val="18"/>
          <w:szCs w:val="18"/>
        </w:rPr>
        <w:t xml:space="preserve"> geltend</w:t>
      </w:r>
      <w:r w:rsidRPr="00E47C28">
        <w:rPr>
          <w:sz w:val="18"/>
          <w:szCs w:val="18"/>
        </w:rPr>
        <w:t>.</w:t>
      </w:r>
    </w:p>
    <w:p w:rsidR="00726715" w:rsidRPr="002911F6" w:rsidRDefault="00726715" w:rsidP="00726715">
      <w:pPr>
        <w:spacing w:after="0" w:line="240" w:lineRule="auto"/>
        <w:rPr>
          <w:i/>
          <w:color w:val="222222"/>
          <w:sz w:val="18"/>
          <w:szCs w:val="18"/>
          <w:lang w:val="en-US"/>
        </w:rPr>
      </w:pPr>
      <w:r w:rsidRPr="002911F6">
        <w:rPr>
          <w:i/>
          <w:color w:val="222222"/>
          <w:sz w:val="18"/>
          <w:szCs w:val="18"/>
          <w:lang w:val="en-US"/>
        </w:rPr>
        <w:t>The company mentioned above concludes this quality assurance agreement with Diehl</w:t>
      </w:r>
      <w:r w:rsidR="00000D4B" w:rsidRPr="002911F6">
        <w:rPr>
          <w:i/>
          <w:color w:val="222222"/>
          <w:sz w:val="18"/>
          <w:szCs w:val="18"/>
          <w:lang w:val="en-US"/>
        </w:rPr>
        <w:t xml:space="preserve"> </w:t>
      </w:r>
      <w:r w:rsidR="00000D4B" w:rsidRPr="002911F6">
        <w:rPr>
          <w:i/>
          <w:sz w:val="18"/>
          <w:szCs w:val="18"/>
          <w:lang w:val="en-US"/>
        </w:rPr>
        <w:t>Aviation</w:t>
      </w:r>
      <w:r w:rsidRPr="002911F6">
        <w:rPr>
          <w:i/>
          <w:color w:val="222222"/>
          <w:sz w:val="18"/>
          <w:szCs w:val="18"/>
          <w:lang w:val="en-US"/>
        </w:rPr>
        <w:t xml:space="preserve">. The content described below is valid in deviation from the </w:t>
      </w:r>
      <w:r w:rsidR="002911F6">
        <w:rPr>
          <w:i/>
          <w:color w:val="222222"/>
          <w:sz w:val="18"/>
          <w:szCs w:val="18"/>
          <w:lang w:val="en-US"/>
        </w:rPr>
        <w:t>GQRS</w:t>
      </w:r>
    </w:p>
    <w:p w:rsidR="00257BE1" w:rsidRDefault="00257BE1" w:rsidP="00CB53F9">
      <w:pPr>
        <w:spacing w:after="0" w:line="240" w:lineRule="auto"/>
        <w:rPr>
          <w:i/>
          <w:color w:val="222222"/>
          <w:szCs w:val="20"/>
          <w:lang w:val="en-US"/>
        </w:rPr>
        <w:sectPr w:rsidR="00257BE1" w:rsidSect="00257BE1">
          <w:headerReference w:type="default" r:id="rId9"/>
          <w:footerReference w:type="default" r:id="rId10"/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A01EEB" w:rsidRPr="002911F6" w:rsidRDefault="00A01EEB" w:rsidP="00CB53F9">
      <w:pPr>
        <w:spacing w:after="0" w:line="240" w:lineRule="auto"/>
        <w:rPr>
          <w:i/>
          <w:color w:val="222222"/>
          <w:szCs w:val="20"/>
          <w:lang w:val="en-US"/>
        </w:rPr>
      </w:pPr>
    </w:p>
    <w:tbl>
      <w:tblPr>
        <w:tblStyle w:val="Tabellenraster"/>
        <w:tblW w:w="14601" w:type="dxa"/>
        <w:tblInd w:w="142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6"/>
        <w:gridCol w:w="13605"/>
      </w:tblGrid>
      <w:tr w:rsidR="00D4090E" w:rsidRPr="00F4194E" w:rsidTr="00513A0F">
        <w:trPr>
          <w:trHeight w:val="861"/>
          <w:tblHeader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:rsidR="00D4090E" w:rsidRPr="00F4194E" w:rsidRDefault="002911F6" w:rsidP="00FA432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GQRS</w:t>
            </w:r>
            <w:r w:rsidR="00D4090E" w:rsidRPr="00F4194E">
              <w:rPr>
                <w:szCs w:val="20"/>
                <w:lang w:val="en-US"/>
              </w:rPr>
              <w:t>-Kapitel</w:t>
            </w:r>
          </w:p>
          <w:p w:rsidR="00D4090E" w:rsidRPr="00F4194E" w:rsidRDefault="002911F6" w:rsidP="00FA432D">
            <w:pPr>
              <w:jc w:val="center"/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GQRS</w:t>
            </w:r>
            <w:r w:rsidR="00D4090E" w:rsidRPr="00F4194E">
              <w:rPr>
                <w:i/>
                <w:szCs w:val="20"/>
                <w:lang w:val="en-US"/>
              </w:rPr>
              <w:t>-Chapter</w:t>
            </w:r>
          </w:p>
        </w:tc>
        <w:tc>
          <w:tcPr>
            <w:tcW w:w="13605" w:type="dxa"/>
            <w:shd w:val="clear" w:color="auto" w:fill="F2F2F2" w:themeFill="background1" w:themeFillShade="F2"/>
            <w:vAlign w:val="center"/>
          </w:tcPr>
          <w:p w:rsidR="00D4090E" w:rsidRPr="00F4194E" w:rsidRDefault="00D4090E" w:rsidP="00FA432D">
            <w:pPr>
              <w:jc w:val="center"/>
              <w:rPr>
                <w:szCs w:val="20"/>
              </w:rPr>
            </w:pPr>
            <w:r w:rsidRPr="00F4194E">
              <w:rPr>
                <w:szCs w:val="20"/>
              </w:rPr>
              <w:t>Änderung</w:t>
            </w:r>
          </w:p>
          <w:p w:rsidR="00D4090E" w:rsidRPr="00F4194E" w:rsidRDefault="00D4090E" w:rsidP="00FA432D">
            <w:pPr>
              <w:jc w:val="center"/>
              <w:rPr>
                <w:i/>
                <w:szCs w:val="20"/>
                <w:lang w:val="en-US"/>
              </w:rPr>
            </w:pPr>
            <w:r w:rsidRPr="00F4194E">
              <w:rPr>
                <w:i/>
                <w:szCs w:val="20"/>
              </w:rPr>
              <w:t>Change</w:t>
            </w:r>
          </w:p>
        </w:tc>
      </w:tr>
      <w:tr w:rsidR="00695181" w:rsidRPr="00513A0F" w:rsidTr="00513A0F">
        <w:trPr>
          <w:trHeight w:val="851"/>
        </w:trPr>
        <w:tc>
          <w:tcPr>
            <w:tcW w:w="996" w:type="dxa"/>
          </w:tcPr>
          <w:p w:rsidR="00695181" w:rsidRDefault="00BD42F8" w:rsidP="00BD42F8">
            <w:pPr>
              <w:rPr>
                <w:szCs w:val="20"/>
              </w:rPr>
            </w:pPr>
            <w:r>
              <w:rPr>
                <w:szCs w:val="20"/>
              </w:rPr>
              <w:t xml:space="preserve">(12.1) </w:t>
            </w:r>
            <w:r w:rsidR="00695181">
              <w:rPr>
                <w:szCs w:val="20"/>
              </w:rPr>
              <w:t>(15.1)</w:t>
            </w:r>
          </w:p>
        </w:tc>
        <w:tc>
          <w:tcPr>
            <w:tcW w:w="13605" w:type="dxa"/>
          </w:tcPr>
          <w:p w:rsidR="00695181" w:rsidRDefault="00695181" w:rsidP="004F63B6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Supplement:</w:t>
            </w:r>
          </w:p>
          <w:p w:rsidR="00695181" w:rsidRDefault="00695181" w:rsidP="004F63B6">
            <w:pPr>
              <w:rPr>
                <w:szCs w:val="20"/>
                <w:lang w:val="en-US"/>
              </w:rPr>
            </w:pPr>
          </w:p>
          <w:p w:rsidR="00695181" w:rsidRPr="00C9039E" w:rsidRDefault="00695181" w:rsidP="004F63B6">
            <w:pPr>
              <w:rPr>
                <w:szCs w:val="20"/>
                <w:lang w:val="en-US"/>
              </w:rPr>
            </w:pPr>
            <w:r w:rsidRPr="00C9039E">
              <w:rPr>
                <w:szCs w:val="20"/>
                <w:lang w:val="en-US"/>
              </w:rPr>
              <w:t xml:space="preserve">The </w:t>
            </w:r>
            <w:r>
              <w:rPr>
                <w:szCs w:val="20"/>
                <w:lang w:val="en-US"/>
              </w:rPr>
              <w:t>capability of</w:t>
            </w:r>
            <w:r w:rsidRPr="00C9039E">
              <w:rPr>
                <w:szCs w:val="20"/>
                <w:lang w:val="en-US"/>
              </w:rPr>
              <w:t xml:space="preserve"> measuring and test equipment </w:t>
            </w:r>
            <w:r>
              <w:rPr>
                <w:szCs w:val="20"/>
                <w:lang w:val="en-US"/>
              </w:rPr>
              <w:t>shall be proven by a measurement system analysis (MSA).</w:t>
            </w:r>
          </w:p>
          <w:p w:rsidR="00695181" w:rsidRDefault="00695181" w:rsidP="004F63B6">
            <w:pPr>
              <w:rPr>
                <w:szCs w:val="20"/>
                <w:lang w:val="en-US"/>
              </w:rPr>
            </w:pPr>
          </w:p>
          <w:p w:rsidR="00633A2C" w:rsidRPr="007270BE" w:rsidRDefault="00633A2C" w:rsidP="001B43A5">
            <w:pPr>
              <w:rPr>
                <w:szCs w:val="20"/>
                <w:lang w:val="en-US"/>
              </w:rPr>
            </w:pPr>
            <w:r w:rsidRPr="00633A2C">
              <w:rPr>
                <w:szCs w:val="20"/>
                <w:lang w:val="en-US"/>
              </w:rPr>
              <w:t>MSA shall, at a minimum, be performed on the measurement methods for KCs (product and</w:t>
            </w:r>
            <w:r>
              <w:rPr>
                <w:szCs w:val="20"/>
                <w:lang w:val="en-US"/>
              </w:rPr>
              <w:t xml:space="preserve"> </w:t>
            </w:r>
            <w:r w:rsidRPr="00633A2C">
              <w:rPr>
                <w:szCs w:val="20"/>
                <w:lang w:val="en-US"/>
              </w:rPr>
              <w:t xml:space="preserve">process) identified in the control plan (reference ASTM E2782). </w:t>
            </w:r>
            <w:r w:rsidRPr="001B43A5">
              <w:rPr>
                <w:szCs w:val="20"/>
                <w:lang w:val="en-US"/>
              </w:rPr>
              <w:t>The organization shall establish and implement corrective action plans when MSA results do not satisfy the internal and/or customer acceptance criteria.</w:t>
            </w:r>
          </w:p>
        </w:tc>
      </w:tr>
      <w:tr w:rsidR="00284992" w:rsidRPr="00513A0F" w:rsidTr="00513A0F">
        <w:trPr>
          <w:trHeight w:val="851"/>
        </w:trPr>
        <w:tc>
          <w:tcPr>
            <w:tcW w:w="996" w:type="dxa"/>
          </w:tcPr>
          <w:p w:rsidR="00284992" w:rsidRDefault="00BD42F8" w:rsidP="00BD42F8">
            <w:pPr>
              <w:rPr>
                <w:szCs w:val="20"/>
              </w:rPr>
            </w:pPr>
            <w:r>
              <w:rPr>
                <w:szCs w:val="20"/>
              </w:rPr>
              <w:t xml:space="preserve">(13.1) </w:t>
            </w:r>
            <w:r w:rsidR="00284992">
              <w:rPr>
                <w:szCs w:val="20"/>
              </w:rPr>
              <w:t>(16.2)</w:t>
            </w:r>
          </w:p>
        </w:tc>
        <w:tc>
          <w:tcPr>
            <w:tcW w:w="13605" w:type="dxa"/>
          </w:tcPr>
          <w:p w:rsidR="00284992" w:rsidRPr="007647E0" w:rsidRDefault="00284992" w:rsidP="004F63B6">
            <w:pPr>
              <w:rPr>
                <w:szCs w:val="20"/>
                <w:lang w:val="en-US"/>
              </w:rPr>
            </w:pPr>
            <w:r w:rsidRPr="007647E0">
              <w:rPr>
                <w:szCs w:val="20"/>
                <w:lang w:val="en-US"/>
              </w:rPr>
              <w:t>Supplement:</w:t>
            </w:r>
          </w:p>
          <w:p w:rsidR="00284992" w:rsidRPr="007647E0" w:rsidRDefault="00284992" w:rsidP="004F63B6">
            <w:pPr>
              <w:rPr>
                <w:szCs w:val="20"/>
                <w:lang w:val="en-US"/>
              </w:rPr>
            </w:pPr>
          </w:p>
          <w:p w:rsidR="00284992" w:rsidRPr="007072CB" w:rsidRDefault="00284992" w:rsidP="004F63B6">
            <w:pPr>
              <w:rPr>
                <w:szCs w:val="20"/>
                <w:lang w:val="en-US"/>
              </w:rPr>
            </w:pPr>
            <w:r w:rsidRPr="007072CB">
              <w:rPr>
                <w:szCs w:val="20"/>
                <w:lang w:val="en-US"/>
              </w:rPr>
              <w:t>Items d) to g) shall be documented in a control plan (CP) acc. to EN9145</w:t>
            </w:r>
            <w:r>
              <w:rPr>
                <w:szCs w:val="20"/>
                <w:lang w:val="en-US"/>
              </w:rPr>
              <w:t>.</w:t>
            </w:r>
          </w:p>
        </w:tc>
      </w:tr>
      <w:tr w:rsidR="00284992" w:rsidRPr="00513A0F" w:rsidTr="00513A0F">
        <w:trPr>
          <w:trHeight w:val="851"/>
        </w:trPr>
        <w:tc>
          <w:tcPr>
            <w:tcW w:w="996" w:type="dxa"/>
          </w:tcPr>
          <w:p w:rsidR="00284992" w:rsidRPr="007072CB" w:rsidRDefault="00BD42F8" w:rsidP="00BD42F8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(13.3) </w:t>
            </w:r>
            <w:r w:rsidR="00284992">
              <w:rPr>
                <w:szCs w:val="20"/>
                <w:lang w:val="en-US"/>
              </w:rPr>
              <w:t>(16.4)</w:t>
            </w:r>
          </w:p>
        </w:tc>
        <w:tc>
          <w:tcPr>
            <w:tcW w:w="13605" w:type="dxa"/>
          </w:tcPr>
          <w:p w:rsidR="00284992" w:rsidRPr="00284992" w:rsidRDefault="00284992" w:rsidP="004F63B6">
            <w:pPr>
              <w:rPr>
                <w:szCs w:val="20"/>
                <w:lang w:val="en-US"/>
              </w:rPr>
            </w:pPr>
            <w:r w:rsidRPr="00284992">
              <w:rPr>
                <w:szCs w:val="20"/>
                <w:lang w:val="en-US"/>
              </w:rPr>
              <w:t>Supplement:</w:t>
            </w:r>
          </w:p>
          <w:p w:rsidR="00284992" w:rsidRPr="00284992" w:rsidRDefault="00284992" w:rsidP="004F63B6">
            <w:pPr>
              <w:rPr>
                <w:szCs w:val="20"/>
                <w:lang w:val="en-US"/>
              </w:rPr>
            </w:pPr>
          </w:p>
          <w:p w:rsidR="00633A2C" w:rsidRPr="00633A2C" w:rsidRDefault="00633A2C" w:rsidP="00633A2C">
            <w:pPr>
              <w:rPr>
                <w:szCs w:val="20"/>
                <w:lang w:val="en-US"/>
              </w:rPr>
            </w:pPr>
            <w:r w:rsidRPr="00633A2C">
              <w:rPr>
                <w:szCs w:val="20"/>
                <w:lang w:val="en-US"/>
              </w:rPr>
              <w:t xml:space="preserve">Process KCs </w:t>
            </w:r>
            <w:r>
              <w:rPr>
                <w:szCs w:val="20"/>
                <w:lang w:val="en-US"/>
              </w:rPr>
              <w:t>(</w:t>
            </w:r>
            <w:r w:rsidRPr="00633A2C">
              <w:rPr>
                <w:szCs w:val="20"/>
                <w:lang w:val="en-US"/>
              </w:rPr>
              <w:t>Key Characteristic</w:t>
            </w:r>
            <w:r>
              <w:rPr>
                <w:szCs w:val="20"/>
                <w:lang w:val="en-US"/>
              </w:rPr>
              <w:t xml:space="preserve">s) </w:t>
            </w:r>
            <w:r w:rsidRPr="00633A2C">
              <w:rPr>
                <w:szCs w:val="20"/>
                <w:lang w:val="en-US"/>
              </w:rPr>
              <w:t>shall be identified using PFMEA or other methods in order to establish variation</w:t>
            </w:r>
            <w:r>
              <w:rPr>
                <w:szCs w:val="20"/>
                <w:lang w:val="en-US"/>
              </w:rPr>
              <w:t xml:space="preserve"> </w:t>
            </w:r>
            <w:r w:rsidRPr="00633A2C">
              <w:rPr>
                <w:szCs w:val="20"/>
                <w:lang w:val="en-US"/>
              </w:rPr>
              <w:t>control of product KCs and C</w:t>
            </w:r>
            <w:r>
              <w:rPr>
                <w:szCs w:val="20"/>
                <w:lang w:val="en-US"/>
              </w:rPr>
              <w:t>I</w:t>
            </w:r>
            <w:r w:rsidRPr="00633A2C">
              <w:rPr>
                <w:szCs w:val="20"/>
                <w:lang w:val="en-US"/>
              </w:rPr>
              <w:t>s</w:t>
            </w:r>
            <w:r>
              <w:rPr>
                <w:szCs w:val="20"/>
                <w:lang w:val="en-US"/>
              </w:rPr>
              <w:t xml:space="preserve"> (</w:t>
            </w:r>
            <w:r w:rsidRPr="00633A2C">
              <w:rPr>
                <w:szCs w:val="20"/>
                <w:lang w:val="en-US"/>
              </w:rPr>
              <w:t>Critical Item</w:t>
            </w:r>
            <w:r>
              <w:rPr>
                <w:szCs w:val="20"/>
                <w:lang w:val="en-US"/>
              </w:rPr>
              <w:t>s)</w:t>
            </w:r>
            <w:r w:rsidRPr="00633A2C">
              <w:rPr>
                <w:szCs w:val="20"/>
                <w:lang w:val="en-US"/>
              </w:rPr>
              <w:t>.</w:t>
            </w:r>
          </w:p>
          <w:p w:rsidR="00633A2C" w:rsidRPr="00BD2B79" w:rsidRDefault="00633A2C" w:rsidP="00633A2C">
            <w:pPr>
              <w:rPr>
                <w:szCs w:val="20"/>
                <w:lang w:val="en-US"/>
              </w:rPr>
            </w:pPr>
            <w:r w:rsidRPr="00633A2C">
              <w:rPr>
                <w:szCs w:val="20"/>
                <w:lang w:val="en-US"/>
              </w:rPr>
              <w:t>Key product / process characteristics shall be traceable from their originating document through the</w:t>
            </w:r>
            <w:r>
              <w:rPr>
                <w:szCs w:val="20"/>
                <w:lang w:val="en-US"/>
              </w:rPr>
              <w:t xml:space="preserve"> </w:t>
            </w:r>
            <w:r w:rsidRPr="00633A2C">
              <w:rPr>
                <w:szCs w:val="20"/>
                <w:lang w:val="en-US"/>
              </w:rPr>
              <w:t>process flow, PFMEA and control plan. Traceability may be achieved by using the same characteristic</w:t>
            </w:r>
            <w:r>
              <w:rPr>
                <w:szCs w:val="20"/>
                <w:lang w:val="en-US"/>
              </w:rPr>
              <w:t xml:space="preserve"> </w:t>
            </w:r>
            <w:r w:rsidRPr="00633A2C">
              <w:rPr>
                <w:szCs w:val="20"/>
                <w:lang w:val="en-US"/>
              </w:rPr>
              <w:t>identifiers in all documents.</w:t>
            </w:r>
          </w:p>
        </w:tc>
        <w:bookmarkStart w:id="4" w:name="_GoBack"/>
        <w:bookmarkEnd w:id="4"/>
      </w:tr>
      <w:tr w:rsidR="00284992" w:rsidRPr="00513A0F" w:rsidTr="00513A0F">
        <w:trPr>
          <w:cantSplit/>
          <w:trHeight w:val="851"/>
        </w:trPr>
        <w:tc>
          <w:tcPr>
            <w:tcW w:w="996" w:type="dxa"/>
          </w:tcPr>
          <w:p w:rsidR="00284992" w:rsidRPr="007072CB" w:rsidRDefault="00BD42F8" w:rsidP="00BD42F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 xml:space="preserve">(13.4) </w:t>
            </w:r>
            <w:r w:rsidR="00284992">
              <w:rPr>
                <w:szCs w:val="20"/>
                <w:lang w:val="en-US"/>
              </w:rPr>
              <w:t>(16.5)</w:t>
            </w:r>
          </w:p>
        </w:tc>
        <w:tc>
          <w:tcPr>
            <w:tcW w:w="13605" w:type="dxa"/>
          </w:tcPr>
          <w:p w:rsidR="00284992" w:rsidRPr="00284992" w:rsidRDefault="00284992" w:rsidP="004F63B6">
            <w:pPr>
              <w:rPr>
                <w:szCs w:val="20"/>
                <w:lang w:val="en-US"/>
              </w:rPr>
            </w:pPr>
            <w:r w:rsidRPr="00284992">
              <w:rPr>
                <w:szCs w:val="20"/>
                <w:lang w:val="en-US"/>
              </w:rPr>
              <w:t>Supplement:</w:t>
            </w:r>
          </w:p>
          <w:p w:rsidR="00284992" w:rsidRPr="00284992" w:rsidRDefault="00284992" w:rsidP="004F63B6">
            <w:pPr>
              <w:rPr>
                <w:szCs w:val="20"/>
                <w:lang w:val="en-US"/>
              </w:rPr>
            </w:pPr>
          </w:p>
          <w:p w:rsidR="00284992" w:rsidRDefault="00284992" w:rsidP="004F63B6">
            <w:p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Documents listed below are part of the Production Part Approval Process (PPAP) and shall be submitted to</w:t>
            </w:r>
            <w:r>
              <w:rPr>
                <w:szCs w:val="20"/>
                <w:lang w:val="en-US"/>
              </w:rPr>
              <w:t xml:space="preserve"> </w:t>
            </w:r>
            <w:r w:rsidRPr="003E4AC1">
              <w:rPr>
                <w:szCs w:val="20"/>
                <w:lang w:val="en-US"/>
              </w:rPr>
              <w:t>the customer</w:t>
            </w:r>
            <w:r>
              <w:rPr>
                <w:szCs w:val="20"/>
                <w:lang w:val="en-US"/>
              </w:rPr>
              <w:t xml:space="preserve"> as agreed to.</w:t>
            </w:r>
          </w:p>
          <w:p w:rsidR="00284992" w:rsidRPr="003E4AC1" w:rsidRDefault="00284992" w:rsidP="004F63B6">
            <w:pPr>
              <w:rPr>
                <w:szCs w:val="20"/>
                <w:lang w:val="en-US"/>
              </w:rPr>
            </w:pPr>
          </w:p>
          <w:p w:rsidR="00284992" w:rsidRPr="003E4AC1" w:rsidRDefault="00633A2C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Design Records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Design Risk Analysis (e. g. DFMEA); only applicable to design organization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Process Flow Diagram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Process Failure Mode and Effects Analysis (PFMEA)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Control Plan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Measurement System Analysis (MSA)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Initial Process Capability Studies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Packaging, Preservation and Labelling Approvals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First Article Inspection Report (FAIR) acc. to EN 9102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Customer PPAP Requirements</w:t>
            </w:r>
          </w:p>
          <w:p w:rsidR="00284992" w:rsidRPr="003E4AC1" w:rsidRDefault="00284992" w:rsidP="004F63B6">
            <w:pPr>
              <w:pStyle w:val="Listenabsatz"/>
              <w:numPr>
                <w:ilvl w:val="0"/>
                <w:numId w:val="8"/>
              </w:numPr>
              <w:rPr>
                <w:szCs w:val="20"/>
                <w:lang w:val="en-US"/>
              </w:rPr>
            </w:pPr>
            <w:r w:rsidRPr="003E4AC1">
              <w:rPr>
                <w:szCs w:val="20"/>
                <w:lang w:val="en-US"/>
              </w:rPr>
              <w:t>PPAP Approval Form (or equivalent)</w:t>
            </w:r>
          </w:p>
        </w:tc>
      </w:tr>
    </w:tbl>
    <w:p w:rsidR="00257BE1" w:rsidRPr="00BD2B79" w:rsidRDefault="00257BE1">
      <w:pPr>
        <w:rPr>
          <w:szCs w:val="20"/>
          <w:lang w:val="en-US"/>
        </w:rPr>
        <w:sectPr w:rsidR="00257BE1" w:rsidRPr="00BD2B79" w:rsidSect="00257BE1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</w:p>
    <w:p w:rsidR="00F4194E" w:rsidRPr="00BD2B79" w:rsidRDefault="00F4194E">
      <w:pPr>
        <w:rPr>
          <w:szCs w:val="20"/>
          <w:lang w:val="en-US"/>
        </w:rPr>
      </w:pPr>
    </w:p>
    <w:p w:rsidR="00A85E9C" w:rsidRPr="00BD2B79" w:rsidRDefault="00A85E9C" w:rsidP="00CB53F9">
      <w:pPr>
        <w:spacing w:after="0" w:line="240" w:lineRule="auto"/>
        <w:rPr>
          <w:szCs w:val="20"/>
          <w:lang w:val="en-US"/>
        </w:r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3047"/>
        <w:gridCol w:w="3048"/>
        <w:gridCol w:w="3048"/>
        <w:gridCol w:w="3048"/>
      </w:tblGrid>
      <w:tr w:rsidR="000757CB" w:rsidTr="003B2724">
        <w:tc>
          <w:tcPr>
            <w:tcW w:w="2518" w:type="dxa"/>
          </w:tcPr>
          <w:p w:rsidR="000757CB" w:rsidRPr="00F4194E" w:rsidRDefault="000757CB" w:rsidP="000757CB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Firma / </w:t>
            </w:r>
            <w:r w:rsidRPr="00F4194E">
              <w:rPr>
                <w:i/>
                <w:szCs w:val="20"/>
                <w:lang w:val="en-US"/>
              </w:rPr>
              <w:t>Company</w:t>
            </w: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3047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57CB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513A0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513A0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="00513A0F">
              <w:rPr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0757CB" w:rsidTr="003B2724">
        <w:tc>
          <w:tcPr>
            <w:tcW w:w="2518" w:type="dxa"/>
          </w:tcPr>
          <w:p w:rsidR="000757CB" w:rsidRPr="00F4194E" w:rsidRDefault="000757CB" w:rsidP="000757CB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Name / </w:t>
            </w:r>
            <w:r w:rsidRPr="000757CB">
              <w:rPr>
                <w:i/>
                <w:szCs w:val="20"/>
                <w:lang w:val="en-US"/>
              </w:rPr>
              <w:t>Name:</w:t>
            </w:r>
          </w:p>
        </w:tc>
        <w:tc>
          <w:tcPr>
            <w:tcW w:w="3047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0757CB" w:rsidTr="003B2724">
        <w:tc>
          <w:tcPr>
            <w:tcW w:w="2518" w:type="dxa"/>
          </w:tcPr>
          <w:p w:rsidR="000757CB" w:rsidRPr="00F4194E" w:rsidRDefault="000757CB" w:rsidP="00CB53F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Position / </w:t>
            </w:r>
            <w:r w:rsidRPr="000757CB">
              <w:rPr>
                <w:i/>
                <w:szCs w:val="20"/>
                <w:lang w:val="en-US"/>
              </w:rPr>
              <w:t>Func</w:t>
            </w:r>
            <w:r>
              <w:rPr>
                <w:i/>
                <w:szCs w:val="20"/>
                <w:lang w:val="en-US"/>
              </w:rPr>
              <w:t>t</w:t>
            </w:r>
            <w:r w:rsidRPr="000757CB">
              <w:rPr>
                <w:i/>
                <w:szCs w:val="20"/>
                <w:lang w:val="en-US"/>
              </w:rPr>
              <w:t>ion:</w:t>
            </w:r>
          </w:p>
        </w:tc>
        <w:tc>
          <w:tcPr>
            <w:tcW w:w="3047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E8334C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E8334C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3B2724" w:rsidTr="004F6F09">
        <w:trPr>
          <w:trHeight w:val="851"/>
        </w:trPr>
        <w:tc>
          <w:tcPr>
            <w:tcW w:w="251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</w:p>
        </w:tc>
        <w:tc>
          <w:tcPr>
            <w:tcW w:w="3047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</w:tr>
      <w:tr w:rsidR="000757CB" w:rsidTr="003B2724">
        <w:trPr>
          <w:trHeight w:val="20"/>
        </w:trPr>
        <w:tc>
          <w:tcPr>
            <w:tcW w:w="2518" w:type="dxa"/>
          </w:tcPr>
          <w:p w:rsidR="000757CB" w:rsidRPr="00F4194E" w:rsidRDefault="000757CB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>Datum</w:t>
            </w:r>
            <w:r>
              <w:rPr>
                <w:szCs w:val="20"/>
                <w:lang w:val="en-US"/>
              </w:rPr>
              <w:t>, Ort</w:t>
            </w:r>
            <w:r w:rsidRPr="00F4194E">
              <w:rPr>
                <w:szCs w:val="20"/>
                <w:lang w:val="en-US"/>
              </w:rPr>
              <w:t xml:space="preserve"> / </w:t>
            </w:r>
            <w:r w:rsidRPr="000757CB">
              <w:rPr>
                <w:i/>
                <w:szCs w:val="20"/>
                <w:lang w:val="en-US"/>
              </w:rPr>
              <w:t>Place, Date:</w:t>
            </w:r>
          </w:p>
        </w:tc>
        <w:tc>
          <w:tcPr>
            <w:tcW w:w="3047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57CB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57CB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</w:tbl>
    <w:p w:rsidR="00A85E9C" w:rsidRPr="00FA432D" w:rsidRDefault="00A85E9C" w:rsidP="00726715">
      <w:pPr>
        <w:spacing w:after="0" w:line="240" w:lineRule="auto"/>
        <w:rPr>
          <w:szCs w:val="20"/>
          <w:lang w:val="en-US"/>
        </w:rPr>
      </w:pPr>
    </w:p>
    <w:sectPr w:rsidR="00A85E9C" w:rsidRPr="00FA432D" w:rsidSect="00257BE1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CB" w:rsidRDefault="001C5DCB" w:rsidP="00CB53F9">
      <w:pPr>
        <w:spacing w:after="0" w:line="240" w:lineRule="auto"/>
      </w:pPr>
      <w:r>
        <w:separator/>
      </w:r>
    </w:p>
  </w:endnote>
  <w:endnote w:type="continuationSeparator" w:id="0">
    <w:p w:rsidR="001C5DCB" w:rsidRDefault="001C5DCB" w:rsidP="00CB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30" w:rsidRPr="00A01EEB" w:rsidRDefault="00070930" w:rsidP="00834DEF">
    <w:pPr>
      <w:pStyle w:val="Fuzeile"/>
      <w:jc w:val="center"/>
      <w:rPr>
        <w:sz w:val="16"/>
        <w:szCs w:val="16"/>
      </w:rPr>
    </w:pPr>
    <w:r w:rsidRPr="00A01EEB">
      <w:rPr>
        <w:sz w:val="16"/>
        <w:szCs w:val="16"/>
      </w:rPr>
      <w:t xml:space="preserve">Seite </w:t>
    </w:r>
    <w:r w:rsidR="00855DAF" w:rsidRPr="00A01EEB">
      <w:rPr>
        <w:b/>
        <w:sz w:val="16"/>
        <w:szCs w:val="16"/>
      </w:rPr>
      <w:fldChar w:fldCharType="begin"/>
    </w:r>
    <w:r w:rsidRPr="00A01EEB">
      <w:rPr>
        <w:b/>
        <w:sz w:val="16"/>
        <w:szCs w:val="16"/>
      </w:rPr>
      <w:instrText>PAGE  \* Arabic  \* MERGEFORMAT</w:instrText>
    </w:r>
    <w:r w:rsidR="00855DAF" w:rsidRPr="00A01EEB">
      <w:rPr>
        <w:b/>
        <w:sz w:val="16"/>
        <w:szCs w:val="16"/>
      </w:rPr>
      <w:fldChar w:fldCharType="separate"/>
    </w:r>
    <w:r w:rsidR="00513A0F">
      <w:rPr>
        <w:b/>
        <w:noProof/>
        <w:sz w:val="16"/>
        <w:szCs w:val="16"/>
      </w:rPr>
      <w:t>2</w:t>
    </w:r>
    <w:r w:rsidR="00855DAF" w:rsidRPr="00A01EEB">
      <w:rPr>
        <w:b/>
        <w:sz w:val="16"/>
        <w:szCs w:val="16"/>
      </w:rPr>
      <w:fldChar w:fldCharType="end"/>
    </w:r>
    <w:r w:rsidRPr="00A01EEB">
      <w:rPr>
        <w:sz w:val="16"/>
        <w:szCs w:val="16"/>
      </w:rPr>
      <w:t xml:space="preserve"> von </w:t>
    </w:r>
    <w:r w:rsidR="001C5DCB">
      <w:fldChar w:fldCharType="begin"/>
    </w:r>
    <w:r w:rsidR="001C5DCB">
      <w:instrText>NUMPAGES  \* Arabic  \* MERGEFORMAT</w:instrText>
    </w:r>
    <w:r w:rsidR="001C5DCB">
      <w:fldChar w:fldCharType="separate"/>
    </w:r>
    <w:r w:rsidR="00513A0F" w:rsidRPr="00513A0F">
      <w:rPr>
        <w:b/>
        <w:noProof/>
        <w:sz w:val="16"/>
        <w:szCs w:val="16"/>
      </w:rPr>
      <w:t>2</w:t>
    </w:r>
    <w:r w:rsidR="001C5DCB">
      <w:rPr>
        <w:b/>
        <w:noProof/>
        <w:sz w:val="16"/>
        <w:szCs w:val="16"/>
      </w:rPr>
      <w:fldChar w:fldCharType="end"/>
    </w:r>
  </w:p>
  <w:p w:rsidR="00070930" w:rsidRDefault="000709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CB" w:rsidRDefault="001C5DCB" w:rsidP="00CB53F9">
      <w:pPr>
        <w:spacing w:after="0" w:line="240" w:lineRule="auto"/>
      </w:pPr>
      <w:r>
        <w:separator/>
      </w:r>
    </w:p>
  </w:footnote>
  <w:footnote w:type="continuationSeparator" w:id="0">
    <w:p w:rsidR="001C5DCB" w:rsidRDefault="001C5DCB" w:rsidP="00CB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Ind w:w="71" w:type="dxa"/>
      <w:tblBorders>
        <w:bottom w:val="single" w:sz="12" w:space="0" w:color="auto"/>
        <w:insideV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26"/>
      <w:gridCol w:w="8978"/>
      <w:gridCol w:w="2677"/>
    </w:tblGrid>
    <w:tr w:rsidR="007647E0" w:rsidTr="007647E0">
      <w:trPr>
        <w:trHeight w:hRule="exact" w:val="888"/>
      </w:trPr>
      <w:tc>
        <w:tcPr>
          <w:tcW w:w="2926" w:type="dxa"/>
          <w:vAlign w:val="center"/>
        </w:tcPr>
        <w:p w:rsidR="007647E0" w:rsidRDefault="007647E0" w:rsidP="00212D31">
          <w:pPr>
            <w:jc w:val="center"/>
            <w:rPr>
              <w:sz w:val="16"/>
            </w:rPr>
          </w:pPr>
          <w:r w:rsidRPr="00F72CE5">
            <w:rPr>
              <w:noProof/>
              <w:sz w:val="16"/>
              <w:lang w:eastAsia="de-DE"/>
            </w:rPr>
            <w:drawing>
              <wp:inline distT="0" distB="0" distL="0" distR="0">
                <wp:extent cx="1122680" cy="370205"/>
                <wp:effectExtent l="19050" t="0" r="1270" b="0"/>
                <wp:docPr id="2" name="Bild 1" descr="\\tka-file\_sycat$\Logo\Aviation_4c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tka-file\_sycat$\Logo\Aviation_4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vAlign w:val="center"/>
        </w:tcPr>
        <w:p w:rsidR="007647E0" w:rsidRDefault="007647E0" w:rsidP="007647E0">
          <w:pPr>
            <w:spacing w:after="0"/>
            <w:jc w:val="center"/>
            <w:rPr>
              <w:rFonts w:cs="Arial"/>
              <w:b/>
              <w:sz w:val="28"/>
            </w:rPr>
          </w:pPr>
          <w:bookmarkStart w:id="1" w:name="document_name"/>
          <w:r w:rsidRPr="00F4194E">
            <w:rPr>
              <w:rFonts w:cs="Arial"/>
              <w:b/>
              <w:sz w:val="28"/>
            </w:rPr>
            <w:t>Qualitätssicherungsvereinbarung</w:t>
          </w:r>
        </w:p>
        <w:bookmarkEnd w:id="1"/>
        <w:p w:rsidR="007647E0" w:rsidRPr="00A322B6" w:rsidRDefault="007647E0" w:rsidP="0054695C">
          <w:pPr>
            <w:spacing w:after="0" w:line="281" w:lineRule="auto"/>
            <w:jc w:val="center"/>
            <w:rPr>
              <w:rFonts w:cs="Tahoma"/>
              <w:i/>
              <w:lang w:val="en-US"/>
            </w:rPr>
          </w:pPr>
          <w:r w:rsidRPr="00A322B6">
            <w:rPr>
              <w:rFonts w:cs="Arial"/>
              <w:b/>
              <w:i/>
              <w:sz w:val="28"/>
            </w:rPr>
            <w:t xml:space="preserve">Quality </w:t>
          </w:r>
          <w:r w:rsidR="0054695C">
            <w:rPr>
              <w:rFonts w:cs="Arial"/>
              <w:b/>
              <w:i/>
              <w:sz w:val="28"/>
            </w:rPr>
            <w:t>Assuran</w:t>
          </w:r>
          <w:r w:rsidRPr="00A322B6">
            <w:rPr>
              <w:rFonts w:cs="Arial"/>
              <w:b/>
              <w:i/>
              <w:sz w:val="28"/>
            </w:rPr>
            <w:t>ce Agreement</w:t>
          </w:r>
        </w:p>
      </w:tc>
      <w:tc>
        <w:tcPr>
          <w:tcW w:w="2677" w:type="dxa"/>
          <w:vAlign w:val="center"/>
        </w:tcPr>
        <w:p w:rsidR="007647E0" w:rsidRPr="005928B8" w:rsidRDefault="007647E0" w:rsidP="00212D31">
          <w:pPr>
            <w:tabs>
              <w:tab w:val="center" w:pos="1892"/>
            </w:tabs>
            <w:jc w:val="right"/>
            <w:rPr>
              <w:rFonts w:cs="Tahoma"/>
              <w:lang w:val="en-US"/>
            </w:rPr>
          </w:pPr>
          <w:r>
            <w:rPr>
              <w:rFonts w:cs="Tahoma"/>
              <w:lang w:val="en-US"/>
            </w:rPr>
            <w:t xml:space="preserve">Doc-No: </w:t>
          </w:r>
          <w:bookmarkStart w:id="2" w:name="document_short_name"/>
          <w:r w:rsidRPr="005928B8">
            <w:rPr>
              <w:rFonts w:cs="Tahoma"/>
              <w:lang w:val="en-US"/>
            </w:rPr>
            <w:t>AFO-0016</w:t>
          </w:r>
          <w:bookmarkEnd w:id="2"/>
        </w:p>
        <w:p w:rsidR="007647E0" w:rsidRPr="00C541F4" w:rsidRDefault="007647E0" w:rsidP="001B43A5">
          <w:pPr>
            <w:jc w:val="right"/>
            <w:rPr>
              <w:rFonts w:cs="Tahoma"/>
            </w:rPr>
          </w:pPr>
          <w:r>
            <w:rPr>
              <w:rFonts w:cs="Tahoma"/>
              <w:lang w:val="en-US"/>
            </w:rPr>
            <w:t>Version:</w:t>
          </w:r>
          <w:r w:rsidRPr="005928B8">
            <w:rPr>
              <w:rFonts w:cs="Tahoma"/>
              <w:lang w:val="en-US"/>
            </w:rPr>
            <w:t xml:space="preserve"> </w:t>
          </w:r>
          <w:bookmarkStart w:id="3" w:name="version"/>
          <w:r>
            <w:rPr>
              <w:rFonts w:cs="Tahoma"/>
              <w:lang w:val="en-US"/>
            </w:rPr>
            <w:t>002</w:t>
          </w:r>
          <w:bookmarkEnd w:id="3"/>
        </w:p>
      </w:tc>
    </w:tr>
  </w:tbl>
  <w:p w:rsidR="00070930" w:rsidRPr="00F4194E" w:rsidRDefault="00070930" w:rsidP="00F419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121"/>
    <w:multiLevelType w:val="hybridMultilevel"/>
    <w:tmpl w:val="99B8A7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A60"/>
    <w:multiLevelType w:val="hybridMultilevel"/>
    <w:tmpl w:val="CEF05E1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2A4D"/>
    <w:multiLevelType w:val="hybridMultilevel"/>
    <w:tmpl w:val="87541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F614F"/>
    <w:multiLevelType w:val="hybridMultilevel"/>
    <w:tmpl w:val="B5D67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57DC2"/>
    <w:multiLevelType w:val="hybridMultilevel"/>
    <w:tmpl w:val="A1220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0888"/>
    <w:multiLevelType w:val="hybridMultilevel"/>
    <w:tmpl w:val="1730D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49A6"/>
    <w:multiLevelType w:val="hybridMultilevel"/>
    <w:tmpl w:val="5D867A3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0477A2"/>
    <w:multiLevelType w:val="hybridMultilevel"/>
    <w:tmpl w:val="8CB0A4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F9"/>
    <w:rsid w:val="00000D4B"/>
    <w:rsid w:val="000465FA"/>
    <w:rsid w:val="00070930"/>
    <w:rsid w:val="00073707"/>
    <w:rsid w:val="000757CB"/>
    <w:rsid w:val="00095526"/>
    <w:rsid w:val="000A2DFD"/>
    <w:rsid w:val="000F1445"/>
    <w:rsid w:val="00174052"/>
    <w:rsid w:val="001779C5"/>
    <w:rsid w:val="001B43A5"/>
    <w:rsid w:val="001C5DCB"/>
    <w:rsid w:val="00257BE1"/>
    <w:rsid w:val="00284992"/>
    <w:rsid w:val="002911F6"/>
    <w:rsid w:val="002D1DFE"/>
    <w:rsid w:val="003B2724"/>
    <w:rsid w:val="003E4AC1"/>
    <w:rsid w:val="0040422E"/>
    <w:rsid w:val="004909BD"/>
    <w:rsid w:val="004B4F3F"/>
    <w:rsid w:val="004E09EE"/>
    <w:rsid w:val="004E3CFB"/>
    <w:rsid w:val="00513A0F"/>
    <w:rsid w:val="0054695C"/>
    <w:rsid w:val="0057301C"/>
    <w:rsid w:val="005A0339"/>
    <w:rsid w:val="005B58A7"/>
    <w:rsid w:val="005E1205"/>
    <w:rsid w:val="00621735"/>
    <w:rsid w:val="00633A2C"/>
    <w:rsid w:val="00695181"/>
    <w:rsid w:val="006D047C"/>
    <w:rsid w:val="007072CB"/>
    <w:rsid w:val="007147F4"/>
    <w:rsid w:val="00726715"/>
    <w:rsid w:val="007270BE"/>
    <w:rsid w:val="00733804"/>
    <w:rsid w:val="00757237"/>
    <w:rsid w:val="007647E0"/>
    <w:rsid w:val="007B795A"/>
    <w:rsid w:val="00834DEF"/>
    <w:rsid w:val="00855DAF"/>
    <w:rsid w:val="009F00C6"/>
    <w:rsid w:val="00A01EEB"/>
    <w:rsid w:val="00A234B7"/>
    <w:rsid w:val="00A322B6"/>
    <w:rsid w:val="00A57DB8"/>
    <w:rsid w:val="00A85E9C"/>
    <w:rsid w:val="00AA42F7"/>
    <w:rsid w:val="00AE3B84"/>
    <w:rsid w:val="00AE5FF3"/>
    <w:rsid w:val="00B15A85"/>
    <w:rsid w:val="00B1608B"/>
    <w:rsid w:val="00B71AA4"/>
    <w:rsid w:val="00BD2B79"/>
    <w:rsid w:val="00BD42F8"/>
    <w:rsid w:val="00BE320F"/>
    <w:rsid w:val="00BF0680"/>
    <w:rsid w:val="00C20D6B"/>
    <w:rsid w:val="00C22729"/>
    <w:rsid w:val="00C5030E"/>
    <w:rsid w:val="00C9039E"/>
    <w:rsid w:val="00CB4EE6"/>
    <w:rsid w:val="00CB53F9"/>
    <w:rsid w:val="00D07613"/>
    <w:rsid w:val="00D4090E"/>
    <w:rsid w:val="00D73266"/>
    <w:rsid w:val="00DE3B42"/>
    <w:rsid w:val="00E05F07"/>
    <w:rsid w:val="00E410D2"/>
    <w:rsid w:val="00E47A0D"/>
    <w:rsid w:val="00E47C28"/>
    <w:rsid w:val="00E64E97"/>
    <w:rsid w:val="00E90A1C"/>
    <w:rsid w:val="00EF33B3"/>
    <w:rsid w:val="00F15812"/>
    <w:rsid w:val="00F4194E"/>
    <w:rsid w:val="00FA432D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194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3F9"/>
  </w:style>
  <w:style w:type="paragraph" w:styleId="Fuzeile">
    <w:name w:val="footer"/>
    <w:basedOn w:val="Standard"/>
    <w:link w:val="Fu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3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3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4194E"/>
    <w:pPr>
      <w:spacing w:after="0" w:line="24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71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194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3F9"/>
  </w:style>
  <w:style w:type="paragraph" w:styleId="Fuzeile">
    <w:name w:val="footer"/>
    <w:basedOn w:val="Standard"/>
    <w:link w:val="Fu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3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3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4194E"/>
    <w:pPr>
      <w:spacing w:after="0" w:line="24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71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5694-066A-4CA7-9C82-C30180E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Diehl Comfort Modules GmbH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manfred.leitner@diehl.com</dc:creator>
  <cp:lastModifiedBy>Manfred LEITNER</cp:lastModifiedBy>
  <cp:revision>2</cp:revision>
  <cp:lastPrinted>2018-03-12T10:46:00Z</cp:lastPrinted>
  <dcterms:created xsi:type="dcterms:W3CDTF">2019-09-18T15:20:00Z</dcterms:created>
  <dcterms:modified xsi:type="dcterms:W3CDTF">2019-09-18T15:20:00Z</dcterms:modified>
</cp:coreProperties>
</file>