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F9" w:rsidRPr="00F4194E" w:rsidRDefault="00CB53F9" w:rsidP="00CB53F9">
      <w:pPr>
        <w:spacing w:after="0" w:line="240" w:lineRule="auto"/>
        <w:rPr>
          <w:szCs w:val="20"/>
        </w:rPr>
      </w:pPr>
      <w:r w:rsidRPr="00F4194E">
        <w:rPr>
          <w:szCs w:val="20"/>
        </w:rPr>
        <w:t>Na</w:t>
      </w:r>
      <w:r w:rsidR="00070930" w:rsidRPr="00F4194E">
        <w:rPr>
          <w:szCs w:val="20"/>
        </w:rPr>
        <w:t>me der Firma &amp; Lieferantennummer</w:t>
      </w:r>
      <w:r w:rsidRPr="00F4194E">
        <w:rPr>
          <w:szCs w:val="20"/>
        </w:rPr>
        <w:t>:</w:t>
      </w:r>
      <w:r w:rsidR="00070930" w:rsidRPr="00F4194E">
        <w:rPr>
          <w:szCs w:val="20"/>
        </w:rPr>
        <w:tab/>
      </w:r>
      <w:r w:rsidR="00F4194E" w:rsidRPr="00F4194E">
        <w:rPr>
          <w:szCs w:val="20"/>
        </w:rPr>
        <w:tab/>
      </w:r>
      <w:r w:rsidR="00855DAF" w:rsidRPr="00F4194E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0930" w:rsidRPr="00F4194E">
        <w:rPr>
          <w:szCs w:val="20"/>
        </w:rPr>
        <w:instrText xml:space="preserve"> FORMTEXT </w:instrText>
      </w:r>
      <w:r w:rsidR="00855DAF" w:rsidRPr="00F4194E">
        <w:rPr>
          <w:szCs w:val="20"/>
        </w:rPr>
      </w:r>
      <w:r w:rsidR="00855DAF" w:rsidRPr="00F4194E">
        <w:rPr>
          <w:szCs w:val="20"/>
        </w:rPr>
        <w:fldChar w:fldCharType="separate"/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9F00C6">
        <w:rPr>
          <w:szCs w:val="20"/>
        </w:rPr>
        <w:t> </w:t>
      </w:r>
      <w:r w:rsidR="00855DAF" w:rsidRPr="00F4194E">
        <w:rPr>
          <w:szCs w:val="20"/>
        </w:rPr>
        <w:fldChar w:fldCharType="end"/>
      </w:r>
      <w:bookmarkEnd w:id="0"/>
      <w:r w:rsidR="00070930" w:rsidRPr="00F4194E">
        <w:rPr>
          <w:szCs w:val="20"/>
        </w:rPr>
        <w:tab/>
      </w:r>
      <w:r w:rsidR="00855DAF" w:rsidRPr="00F4194E">
        <w:rPr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4194E" w:rsidRPr="00E90A1C">
        <w:rPr>
          <w:szCs w:val="20"/>
        </w:rPr>
        <w:instrText xml:space="preserve"> FORMTEXT </w:instrText>
      </w:r>
      <w:r w:rsidR="00855DAF" w:rsidRPr="00F4194E">
        <w:rPr>
          <w:szCs w:val="20"/>
          <w:lang w:val="en-US"/>
        </w:rPr>
      </w:r>
      <w:r w:rsidR="00855DAF" w:rsidRPr="00F4194E">
        <w:rPr>
          <w:szCs w:val="20"/>
          <w:lang w:val="en-US"/>
        </w:rPr>
        <w:fldChar w:fldCharType="separate"/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9F00C6">
        <w:rPr>
          <w:szCs w:val="20"/>
          <w:lang w:val="en-US"/>
        </w:rPr>
        <w:t> </w:t>
      </w:r>
      <w:r w:rsidR="00855DAF" w:rsidRPr="00F4194E">
        <w:rPr>
          <w:szCs w:val="20"/>
          <w:lang w:val="en-US"/>
        </w:rPr>
        <w:fldChar w:fldCharType="end"/>
      </w:r>
      <w:r w:rsidR="00174052" w:rsidRPr="00F4194E">
        <w:rPr>
          <w:szCs w:val="20"/>
        </w:rPr>
        <w:tab/>
      </w:r>
      <w:r w:rsidRPr="00F4194E">
        <w:rPr>
          <w:szCs w:val="20"/>
        </w:rPr>
        <w:t xml:space="preserve"> </w:t>
      </w:r>
    </w:p>
    <w:p w:rsidR="004B4F3F" w:rsidRPr="00F4194E" w:rsidRDefault="00070930" w:rsidP="00CB53F9">
      <w:pPr>
        <w:spacing w:after="0" w:line="240" w:lineRule="auto"/>
        <w:rPr>
          <w:i/>
          <w:szCs w:val="20"/>
        </w:rPr>
      </w:pPr>
      <w:r w:rsidRPr="00F4194E">
        <w:rPr>
          <w:i/>
          <w:szCs w:val="20"/>
        </w:rPr>
        <w:t>Company name &amp; supplier-ID</w:t>
      </w:r>
      <w:r w:rsidR="00CB53F9" w:rsidRPr="00F4194E">
        <w:rPr>
          <w:i/>
          <w:szCs w:val="20"/>
        </w:rPr>
        <w:t>:</w:t>
      </w:r>
    </w:p>
    <w:p w:rsidR="00CB53F9" w:rsidRPr="00F4194E" w:rsidRDefault="00CB53F9" w:rsidP="00CB53F9">
      <w:pPr>
        <w:spacing w:after="0" w:line="240" w:lineRule="auto"/>
        <w:rPr>
          <w:i/>
          <w:szCs w:val="20"/>
        </w:rPr>
      </w:pPr>
    </w:p>
    <w:p w:rsidR="00726715" w:rsidRPr="00E47C28" w:rsidRDefault="00726715" w:rsidP="00726715">
      <w:pPr>
        <w:spacing w:after="0" w:line="240" w:lineRule="auto"/>
        <w:rPr>
          <w:sz w:val="18"/>
          <w:szCs w:val="18"/>
        </w:rPr>
      </w:pPr>
      <w:r w:rsidRPr="00E47C28">
        <w:rPr>
          <w:sz w:val="18"/>
          <w:szCs w:val="18"/>
        </w:rPr>
        <w:t>Die oben genannte Firma schließt mit Diehl</w:t>
      </w:r>
      <w:r w:rsidR="00000D4B" w:rsidRPr="00E47C28">
        <w:rPr>
          <w:sz w:val="18"/>
          <w:szCs w:val="18"/>
        </w:rPr>
        <w:t xml:space="preserve"> Aviation</w:t>
      </w:r>
      <w:r w:rsidRPr="00E47C28">
        <w:rPr>
          <w:sz w:val="18"/>
          <w:szCs w:val="18"/>
        </w:rPr>
        <w:t xml:space="preserve"> diese Qualitätssicherungsvereinbarung. Der nachstehend beschriebene Inhalt gilt als Abweichend zur </w:t>
      </w:r>
      <w:r w:rsidR="002911F6">
        <w:rPr>
          <w:sz w:val="18"/>
          <w:szCs w:val="18"/>
        </w:rPr>
        <w:t>GQRS</w:t>
      </w:r>
      <w:r w:rsidR="00E47C28" w:rsidRPr="00E47C28">
        <w:rPr>
          <w:sz w:val="18"/>
          <w:szCs w:val="18"/>
        </w:rPr>
        <w:t xml:space="preserve"> geltend</w:t>
      </w:r>
      <w:r w:rsidRPr="00E47C28">
        <w:rPr>
          <w:sz w:val="18"/>
          <w:szCs w:val="18"/>
        </w:rPr>
        <w:t>.</w:t>
      </w:r>
    </w:p>
    <w:p w:rsidR="00726715" w:rsidRPr="002911F6" w:rsidRDefault="00726715" w:rsidP="00726715">
      <w:pPr>
        <w:spacing w:after="0" w:line="240" w:lineRule="auto"/>
        <w:rPr>
          <w:i/>
          <w:color w:val="222222"/>
          <w:sz w:val="18"/>
          <w:szCs w:val="18"/>
          <w:lang w:val="en-US"/>
        </w:rPr>
      </w:pPr>
      <w:r w:rsidRPr="002911F6">
        <w:rPr>
          <w:i/>
          <w:color w:val="222222"/>
          <w:sz w:val="18"/>
          <w:szCs w:val="18"/>
          <w:lang w:val="en-US"/>
        </w:rPr>
        <w:t>The company mentioned above concludes this quality assurance agreement with Diehl</w:t>
      </w:r>
      <w:r w:rsidR="00000D4B" w:rsidRPr="002911F6">
        <w:rPr>
          <w:i/>
          <w:color w:val="222222"/>
          <w:sz w:val="18"/>
          <w:szCs w:val="18"/>
          <w:lang w:val="en-US"/>
        </w:rPr>
        <w:t xml:space="preserve"> </w:t>
      </w:r>
      <w:r w:rsidR="00000D4B" w:rsidRPr="002911F6">
        <w:rPr>
          <w:i/>
          <w:sz w:val="18"/>
          <w:szCs w:val="18"/>
          <w:lang w:val="en-US"/>
        </w:rPr>
        <w:t>Aviation</w:t>
      </w:r>
      <w:r w:rsidRPr="002911F6">
        <w:rPr>
          <w:i/>
          <w:color w:val="222222"/>
          <w:sz w:val="18"/>
          <w:szCs w:val="18"/>
          <w:lang w:val="en-US"/>
        </w:rPr>
        <w:t xml:space="preserve">. The content described below is valid in deviation from the </w:t>
      </w:r>
      <w:r w:rsidR="002911F6">
        <w:rPr>
          <w:i/>
          <w:color w:val="222222"/>
          <w:sz w:val="18"/>
          <w:szCs w:val="18"/>
          <w:lang w:val="en-US"/>
        </w:rPr>
        <w:t>GQRS</w:t>
      </w:r>
    </w:p>
    <w:p w:rsidR="00257BE1" w:rsidRDefault="00257BE1" w:rsidP="00CB53F9">
      <w:pPr>
        <w:spacing w:after="0" w:line="240" w:lineRule="auto"/>
        <w:rPr>
          <w:i/>
          <w:color w:val="222222"/>
          <w:szCs w:val="20"/>
          <w:lang w:val="en-US"/>
        </w:rPr>
        <w:sectPr w:rsidR="00257BE1" w:rsidSect="00257BE1">
          <w:headerReference w:type="default" r:id="rId9"/>
          <w:footerReference w:type="default" r:id="rId10"/>
          <w:type w:val="continuous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A01EEB" w:rsidRPr="002911F6" w:rsidRDefault="00A01EEB" w:rsidP="00CB53F9">
      <w:pPr>
        <w:spacing w:after="0" w:line="240" w:lineRule="auto"/>
        <w:rPr>
          <w:i/>
          <w:color w:val="222222"/>
          <w:szCs w:val="20"/>
          <w:lang w:val="en-US"/>
        </w:rPr>
      </w:pPr>
    </w:p>
    <w:tbl>
      <w:tblPr>
        <w:tblStyle w:val="Tabellenraster"/>
        <w:tblW w:w="14601" w:type="dxa"/>
        <w:tblInd w:w="142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96"/>
        <w:gridCol w:w="13605"/>
      </w:tblGrid>
      <w:tr w:rsidR="00D4090E" w:rsidRPr="00F4194E" w:rsidTr="00D835FE">
        <w:trPr>
          <w:trHeight w:val="861"/>
          <w:tblHeader/>
        </w:trPr>
        <w:tc>
          <w:tcPr>
            <w:tcW w:w="996" w:type="dxa"/>
            <w:shd w:val="clear" w:color="auto" w:fill="F2F2F2" w:themeFill="background1" w:themeFillShade="F2"/>
            <w:vAlign w:val="center"/>
          </w:tcPr>
          <w:p w:rsidR="00D4090E" w:rsidRPr="00F4194E" w:rsidRDefault="002911F6" w:rsidP="00FA432D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GQRS</w:t>
            </w:r>
            <w:r w:rsidR="00D4090E" w:rsidRPr="00F4194E">
              <w:rPr>
                <w:szCs w:val="20"/>
                <w:lang w:val="en-US"/>
              </w:rPr>
              <w:t>-Kapitel</w:t>
            </w:r>
          </w:p>
          <w:p w:rsidR="00D4090E" w:rsidRPr="00F4194E" w:rsidRDefault="002911F6" w:rsidP="00FA432D">
            <w:pPr>
              <w:jc w:val="center"/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GQRS</w:t>
            </w:r>
            <w:r w:rsidR="00D4090E" w:rsidRPr="00F4194E">
              <w:rPr>
                <w:i/>
                <w:szCs w:val="20"/>
                <w:lang w:val="en-US"/>
              </w:rPr>
              <w:t>-Chapter</w:t>
            </w:r>
          </w:p>
        </w:tc>
        <w:tc>
          <w:tcPr>
            <w:tcW w:w="13605" w:type="dxa"/>
            <w:shd w:val="clear" w:color="auto" w:fill="F2F2F2" w:themeFill="background1" w:themeFillShade="F2"/>
            <w:vAlign w:val="center"/>
          </w:tcPr>
          <w:p w:rsidR="00D4090E" w:rsidRPr="00F4194E" w:rsidRDefault="00D4090E" w:rsidP="00FA432D">
            <w:pPr>
              <w:jc w:val="center"/>
              <w:rPr>
                <w:szCs w:val="20"/>
              </w:rPr>
            </w:pPr>
            <w:r w:rsidRPr="00F4194E">
              <w:rPr>
                <w:szCs w:val="20"/>
              </w:rPr>
              <w:t>Änderung</w:t>
            </w:r>
          </w:p>
          <w:p w:rsidR="00D4090E" w:rsidRPr="00F4194E" w:rsidRDefault="00D4090E" w:rsidP="00FA432D">
            <w:pPr>
              <w:jc w:val="center"/>
              <w:rPr>
                <w:i/>
                <w:szCs w:val="20"/>
                <w:lang w:val="en-US"/>
              </w:rPr>
            </w:pPr>
            <w:r w:rsidRPr="00F4194E">
              <w:rPr>
                <w:i/>
                <w:szCs w:val="20"/>
              </w:rPr>
              <w:t>Change</w:t>
            </w:r>
          </w:p>
        </w:tc>
      </w:tr>
      <w:tr w:rsidR="00D07613" w:rsidRPr="00F4194E" w:rsidTr="00D835FE">
        <w:trPr>
          <w:trHeight w:val="851"/>
        </w:trPr>
        <w:tc>
          <w:tcPr>
            <w:tcW w:w="996" w:type="dxa"/>
          </w:tcPr>
          <w:p w:rsidR="007270BE" w:rsidRDefault="00BD42F8" w:rsidP="00BD42F8">
            <w:pPr>
              <w:rPr>
                <w:szCs w:val="20"/>
              </w:rPr>
            </w:pPr>
            <w:r>
              <w:rPr>
                <w:szCs w:val="20"/>
              </w:rPr>
              <w:t xml:space="preserve">(12.1) </w:t>
            </w:r>
            <w:r w:rsidR="007270BE">
              <w:rPr>
                <w:szCs w:val="20"/>
              </w:rPr>
              <w:t>(</w:t>
            </w:r>
            <w:r w:rsidR="00D07613">
              <w:rPr>
                <w:szCs w:val="20"/>
              </w:rPr>
              <w:t>15.1</w:t>
            </w:r>
            <w:r w:rsidR="007270BE">
              <w:rPr>
                <w:szCs w:val="20"/>
              </w:rPr>
              <w:t>)</w:t>
            </w:r>
          </w:p>
        </w:tc>
        <w:tc>
          <w:tcPr>
            <w:tcW w:w="13605" w:type="dxa"/>
          </w:tcPr>
          <w:p w:rsidR="00D07613" w:rsidRDefault="00D07613" w:rsidP="00095526">
            <w:pPr>
              <w:rPr>
                <w:szCs w:val="20"/>
              </w:rPr>
            </w:pPr>
            <w:r>
              <w:rPr>
                <w:szCs w:val="20"/>
              </w:rPr>
              <w:t>Ergänzung:</w:t>
            </w:r>
          </w:p>
          <w:p w:rsidR="007072CB" w:rsidRDefault="007072CB" w:rsidP="00095526">
            <w:pPr>
              <w:rPr>
                <w:szCs w:val="20"/>
              </w:rPr>
            </w:pPr>
          </w:p>
          <w:p w:rsidR="00D07613" w:rsidRDefault="00D07613" w:rsidP="00095526">
            <w:pPr>
              <w:rPr>
                <w:szCs w:val="20"/>
              </w:rPr>
            </w:pPr>
            <w:r>
              <w:rPr>
                <w:szCs w:val="20"/>
              </w:rPr>
              <w:t xml:space="preserve">Die </w:t>
            </w:r>
            <w:r w:rsidR="00C9039E">
              <w:rPr>
                <w:szCs w:val="20"/>
              </w:rPr>
              <w:t>Fähigkeit</w:t>
            </w:r>
            <w:r>
              <w:rPr>
                <w:szCs w:val="20"/>
              </w:rPr>
              <w:t xml:space="preserve"> von Mess- und Prüfmitteln ist durch eine </w:t>
            </w:r>
            <w:r w:rsidR="000A2DFD">
              <w:rPr>
                <w:szCs w:val="20"/>
              </w:rPr>
              <w:t xml:space="preserve">Messsystemanalyse </w:t>
            </w:r>
            <w:r>
              <w:rPr>
                <w:szCs w:val="20"/>
              </w:rPr>
              <w:t>(MSA) nachzuweisen.</w:t>
            </w:r>
          </w:p>
          <w:p w:rsidR="00073707" w:rsidRDefault="00073707" w:rsidP="00095526">
            <w:pPr>
              <w:rPr>
                <w:szCs w:val="20"/>
              </w:rPr>
            </w:pPr>
          </w:p>
          <w:p w:rsidR="00C9039E" w:rsidRPr="00095526" w:rsidRDefault="000F1445" w:rsidP="001B43A5">
            <w:pPr>
              <w:rPr>
                <w:szCs w:val="20"/>
              </w:rPr>
            </w:pPr>
            <w:r w:rsidRPr="000F1445">
              <w:rPr>
                <w:szCs w:val="20"/>
              </w:rPr>
              <w:t>Die Messsystemanalyse (MSA) muss mindestens für die Messverfahren der im Kontrollplan festgelegten</w:t>
            </w:r>
            <w:r>
              <w:rPr>
                <w:szCs w:val="20"/>
              </w:rPr>
              <w:t xml:space="preserve"> </w:t>
            </w:r>
            <w:r w:rsidRPr="000F1445">
              <w:rPr>
                <w:szCs w:val="20"/>
              </w:rPr>
              <w:t>Schlüsselmerkmale (KC) für Produkte und Prozesse durchgeführt werden (Verweisung auf</w:t>
            </w:r>
            <w:r>
              <w:rPr>
                <w:szCs w:val="20"/>
              </w:rPr>
              <w:t xml:space="preserve"> </w:t>
            </w:r>
            <w:r w:rsidRPr="000F1445">
              <w:rPr>
                <w:szCs w:val="20"/>
              </w:rPr>
              <w:t>ASTM E2782)</w:t>
            </w:r>
            <w:r w:rsidR="00C9039E" w:rsidRPr="00C9039E">
              <w:rPr>
                <w:szCs w:val="20"/>
              </w:rPr>
              <w:t xml:space="preserve"> </w:t>
            </w:r>
            <w:r w:rsidRPr="001B43A5">
              <w:rPr>
                <w:szCs w:val="20"/>
              </w:rPr>
              <w:t>Die Organisation muss einen Plan für Korrekturmaßnahmen erstellen und anwenden, wenn die Ergebnisse der Messsystemanalyse (MSA) nicht die internen und/oder kundenseitigen Abnahmekriterien erfüllen.</w:t>
            </w:r>
          </w:p>
        </w:tc>
      </w:tr>
      <w:tr w:rsidR="000A2DFD" w:rsidRPr="00F4194E" w:rsidTr="00D835FE">
        <w:trPr>
          <w:trHeight w:val="851"/>
        </w:trPr>
        <w:tc>
          <w:tcPr>
            <w:tcW w:w="996" w:type="dxa"/>
          </w:tcPr>
          <w:p w:rsidR="005B58A7" w:rsidRDefault="00BD42F8" w:rsidP="00BD42F8">
            <w:pPr>
              <w:rPr>
                <w:szCs w:val="20"/>
              </w:rPr>
            </w:pPr>
            <w:r>
              <w:rPr>
                <w:szCs w:val="20"/>
              </w:rPr>
              <w:t xml:space="preserve">(13.1) </w:t>
            </w:r>
            <w:r w:rsidR="005B58A7">
              <w:rPr>
                <w:szCs w:val="20"/>
              </w:rPr>
              <w:t>(</w:t>
            </w:r>
            <w:r w:rsidR="000A2DFD">
              <w:rPr>
                <w:szCs w:val="20"/>
              </w:rPr>
              <w:t>16.2</w:t>
            </w:r>
            <w:r w:rsidR="005B58A7">
              <w:rPr>
                <w:szCs w:val="20"/>
              </w:rPr>
              <w:t>)</w:t>
            </w:r>
          </w:p>
        </w:tc>
        <w:tc>
          <w:tcPr>
            <w:tcW w:w="13605" w:type="dxa"/>
          </w:tcPr>
          <w:p w:rsidR="000A2DFD" w:rsidRDefault="000A2DFD" w:rsidP="00095526">
            <w:pPr>
              <w:rPr>
                <w:szCs w:val="20"/>
              </w:rPr>
            </w:pPr>
            <w:r>
              <w:rPr>
                <w:szCs w:val="20"/>
              </w:rPr>
              <w:t>Ergänzung:</w:t>
            </w:r>
          </w:p>
          <w:p w:rsidR="007072CB" w:rsidRDefault="007072CB" w:rsidP="00095526">
            <w:pPr>
              <w:rPr>
                <w:szCs w:val="20"/>
              </w:rPr>
            </w:pPr>
          </w:p>
          <w:p w:rsidR="000A2DFD" w:rsidRPr="00095526" w:rsidRDefault="000A2DFD" w:rsidP="007072CB">
            <w:pPr>
              <w:rPr>
                <w:szCs w:val="20"/>
              </w:rPr>
            </w:pPr>
            <w:r>
              <w:rPr>
                <w:szCs w:val="20"/>
              </w:rPr>
              <w:t xml:space="preserve">Die </w:t>
            </w:r>
            <w:r w:rsidR="005B58A7">
              <w:rPr>
                <w:szCs w:val="20"/>
              </w:rPr>
              <w:t xml:space="preserve">Dokumentation der </w:t>
            </w:r>
            <w:r>
              <w:rPr>
                <w:szCs w:val="20"/>
              </w:rPr>
              <w:t xml:space="preserve">in d) bis g) genannten Inhalte </w:t>
            </w:r>
            <w:r w:rsidR="005B58A7">
              <w:rPr>
                <w:szCs w:val="20"/>
              </w:rPr>
              <w:t>erfolgt in einem</w:t>
            </w:r>
            <w:r>
              <w:rPr>
                <w:szCs w:val="20"/>
              </w:rPr>
              <w:t xml:space="preserve"> K</w:t>
            </w:r>
            <w:r w:rsidR="00BE320F">
              <w:rPr>
                <w:szCs w:val="20"/>
              </w:rPr>
              <w:t>ontrollplan</w:t>
            </w:r>
            <w:r>
              <w:rPr>
                <w:szCs w:val="20"/>
              </w:rPr>
              <w:t xml:space="preserve"> gem. EN</w:t>
            </w:r>
            <w:r w:rsidR="000F1445">
              <w:rPr>
                <w:szCs w:val="20"/>
              </w:rPr>
              <w:t xml:space="preserve"> </w:t>
            </w:r>
            <w:r>
              <w:rPr>
                <w:szCs w:val="20"/>
              </w:rPr>
              <w:t>9145</w:t>
            </w:r>
            <w:r w:rsidR="007072CB">
              <w:rPr>
                <w:szCs w:val="20"/>
              </w:rPr>
              <w:t>.</w:t>
            </w:r>
          </w:p>
        </w:tc>
      </w:tr>
      <w:tr w:rsidR="007072CB" w:rsidRPr="005B58A7" w:rsidTr="00D835FE">
        <w:trPr>
          <w:trHeight w:val="851"/>
        </w:trPr>
        <w:tc>
          <w:tcPr>
            <w:tcW w:w="996" w:type="dxa"/>
          </w:tcPr>
          <w:p w:rsidR="007072CB" w:rsidRPr="007147F4" w:rsidRDefault="007072CB" w:rsidP="00BD42F8">
            <w:pPr>
              <w:rPr>
                <w:szCs w:val="20"/>
              </w:rPr>
            </w:pPr>
            <w:r w:rsidRPr="007147F4">
              <w:rPr>
                <w:szCs w:val="20"/>
              </w:rPr>
              <w:t>(13.3)</w:t>
            </w:r>
            <w:r w:rsidR="00BD42F8" w:rsidRPr="007147F4">
              <w:rPr>
                <w:szCs w:val="20"/>
              </w:rPr>
              <w:t xml:space="preserve"> (16.4)</w:t>
            </w:r>
          </w:p>
        </w:tc>
        <w:tc>
          <w:tcPr>
            <w:tcW w:w="13605" w:type="dxa"/>
          </w:tcPr>
          <w:p w:rsidR="007072CB" w:rsidRDefault="007072CB" w:rsidP="007072CB">
            <w:pPr>
              <w:rPr>
                <w:szCs w:val="20"/>
              </w:rPr>
            </w:pPr>
            <w:r>
              <w:rPr>
                <w:szCs w:val="20"/>
              </w:rPr>
              <w:t>Ergänzung:</w:t>
            </w:r>
          </w:p>
          <w:p w:rsidR="007072CB" w:rsidRDefault="007072CB" w:rsidP="007072CB">
            <w:pPr>
              <w:rPr>
                <w:szCs w:val="20"/>
              </w:rPr>
            </w:pPr>
          </w:p>
          <w:p w:rsidR="000F1445" w:rsidRDefault="000F1445" w:rsidP="000F1445">
            <w:pPr>
              <w:rPr>
                <w:szCs w:val="20"/>
              </w:rPr>
            </w:pPr>
            <w:r w:rsidRPr="000F1445">
              <w:rPr>
                <w:szCs w:val="20"/>
              </w:rPr>
              <w:t>Schlüsselmerkmale des Prozesses müssen mit Hilfe von PFMEA oder anderen Methoden identifiziert</w:t>
            </w:r>
            <w:r>
              <w:rPr>
                <w:szCs w:val="20"/>
              </w:rPr>
              <w:t xml:space="preserve"> </w:t>
            </w:r>
            <w:r w:rsidRPr="000F1445">
              <w:rPr>
                <w:szCs w:val="20"/>
              </w:rPr>
              <w:t>werden, um die Lenkung der Veränderungen der Produkt-KCs und -CIs einzurichten.</w:t>
            </w:r>
          </w:p>
          <w:p w:rsidR="007072CB" w:rsidRDefault="000F1445" w:rsidP="000F1445">
            <w:pPr>
              <w:rPr>
                <w:szCs w:val="20"/>
              </w:rPr>
            </w:pPr>
            <w:r w:rsidRPr="000F1445">
              <w:rPr>
                <w:szCs w:val="20"/>
              </w:rPr>
              <w:t>Schlüsselmerkmale des Produktes oder Prozesses müssen von Ausgangsdokumenten über den Prozessablauf,</w:t>
            </w:r>
            <w:r>
              <w:rPr>
                <w:szCs w:val="20"/>
              </w:rPr>
              <w:t xml:space="preserve"> </w:t>
            </w:r>
            <w:r w:rsidRPr="000F1445">
              <w:rPr>
                <w:szCs w:val="20"/>
              </w:rPr>
              <w:t>PFMEA und Kontrollplan rückverfolgbar sein. Die Rückverfolgbarkeit kann durch die Verwendung der</w:t>
            </w:r>
            <w:r>
              <w:rPr>
                <w:szCs w:val="20"/>
              </w:rPr>
              <w:t xml:space="preserve"> </w:t>
            </w:r>
            <w:r w:rsidRPr="000F1445">
              <w:rPr>
                <w:szCs w:val="20"/>
              </w:rPr>
              <w:t>gleichen charakteristischen Kennungen in allen Dokumenten erreicht werden.</w:t>
            </w:r>
          </w:p>
        </w:tc>
      </w:tr>
      <w:tr w:rsidR="00695181" w:rsidRPr="00BD2B79" w:rsidTr="00D835FE">
        <w:trPr>
          <w:trHeight w:val="851"/>
        </w:trPr>
        <w:tc>
          <w:tcPr>
            <w:tcW w:w="996" w:type="dxa"/>
          </w:tcPr>
          <w:p w:rsidR="00695181" w:rsidRPr="007072CB" w:rsidRDefault="00BD42F8" w:rsidP="001B43A5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 xml:space="preserve">(13.4) </w:t>
            </w:r>
            <w:r w:rsidR="00695181">
              <w:rPr>
                <w:szCs w:val="20"/>
                <w:lang w:val="en-US"/>
              </w:rPr>
              <w:t>(16.5)</w:t>
            </w:r>
          </w:p>
        </w:tc>
        <w:tc>
          <w:tcPr>
            <w:tcW w:w="13605" w:type="dxa"/>
          </w:tcPr>
          <w:p w:rsidR="00695181" w:rsidRDefault="00695181" w:rsidP="004F63B6">
            <w:pPr>
              <w:rPr>
                <w:szCs w:val="20"/>
              </w:rPr>
            </w:pPr>
            <w:r>
              <w:rPr>
                <w:szCs w:val="20"/>
              </w:rPr>
              <w:t>Ergänzung:</w:t>
            </w:r>
          </w:p>
          <w:p w:rsidR="00695181" w:rsidRDefault="00695181" w:rsidP="004F63B6">
            <w:pPr>
              <w:rPr>
                <w:szCs w:val="20"/>
              </w:rPr>
            </w:pPr>
          </w:p>
          <w:p w:rsidR="00695181" w:rsidRDefault="00695181" w:rsidP="004F63B6">
            <w:pPr>
              <w:rPr>
                <w:szCs w:val="20"/>
              </w:rPr>
            </w:pPr>
            <w:r>
              <w:rPr>
                <w:szCs w:val="20"/>
              </w:rPr>
              <w:t xml:space="preserve">Nachfolgende Dokumente sind Bestandteil des </w:t>
            </w:r>
            <w:r w:rsidRPr="00BE320F">
              <w:rPr>
                <w:szCs w:val="20"/>
              </w:rPr>
              <w:t>Produktionsteilabnahmeverfahrens</w:t>
            </w:r>
            <w:r>
              <w:rPr>
                <w:szCs w:val="20"/>
              </w:rPr>
              <w:t xml:space="preserve"> (PPAP) für Neuprodukte und sind dem Kunden gem. vereinbarter Vorlagestufe zu übermitteln:</w:t>
            </w:r>
          </w:p>
          <w:p w:rsidR="00695181" w:rsidRDefault="00695181" w:rsidP="004F63B6">
            <w:pPr>
              <w:rPr>
                <w:szCs w:val="20"/>
              </w:rPr>
            </w:pPr>
          </w:p>
          <w:p w:rsidR="000F1445" w:rsidRDefault="000F1445" w:rsidP="000F1445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Entwicklungsaufzeichnungen</w:t>
            </w:r>
          </w:p>
          <w:p w:rsidR="00695181" w:rsidRPr="000F1445" w:rsidRDefault="000F1445" w:rsidP="000F1445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0F1445">
              <w:rPr>
                <w:szCs w:val="20"/>
              </w:rPr>
              <w:t>Risikoanalyse des Designs (z. B. DFMEA); nur</w:t>
            </w:r>
            <w:r>
              <w:rPr>
                <w:szCs w:val="20"/>
              </w:rPr>
              <w:t xml:space="preserve"> </w:t>
            </w:r>
            <w:r w:rsidRPr="000F1445">
              <w:rPr>
                <w:szCs w:val="20"/>
              </w:rPr>
              <w:t>für die für die Entwicklung verantwortliche Organisation anwendbar</w:t>
            </w:r>
          </w:p>
          <w:p w:rsidR="00695181" w:rsidRPr="007147F4" w:rsidRDefault="000F1445" w:rsidP="000F1445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Prozessablauf-Diagramm</w:t>
            </w:r>
          </w:p>
          <w:p w:rsidR="00695181" w:rsidRPr="00621735" w:rsidRDefault="00621735" w:rsidP="00621735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621735">
              <w:rPr>
                <w:szCs w:val="20"/>
              </w:rPr>
              <w:t xml:space="preserve">Prozess-Fehlermöglichkeits- und </w:t>
            </w:r>
            <w:r>
              <w:rPr>
                <w:szCs w:val="20"/>
              </w:rPr>
              <w:t>–</w:t>
            </w:r>
            <w:r w:rsidRPr="00621735">
              <w:rPr>
                <w:szCs w:val="20"/>
              </w:rPr>
              <w:t>einflussanalyse</w:t>
            </w:r>
            <w:r>
              <w:rPr>
                <w:szCs w:val="20"/>
              </w:rPr>
              <w:t xml:space="preserve"> </w:t>
            </w:r>
            <w:r w:rsidRPr="00621735">
              <w:rPr>
                <w:szCs w:val="20"/>
              </w:rPr>
              <w:t>(PFMEA)</w:t>
            </w:r>
          </w:p>
          <w:p w:rsidR="00695181" w:rsidRPr="007147F4" w:rsidRDefault="00695181" w:rsidP="004F63B6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7147F4">
              <w:rPr>
                <w:szCs w:val="20"/>
              </w:rPr>
              <w:t>Kontrollplan</w:t>
            </w:r>
          </w:p>
          <w:p w:rsidR="00695181" w:rsidRPr="007147F4" w:rsidRDefault="00695181" w:rsidP="004F63B6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7147F4">
              <w:rPr>
                <w:szCs w:val="20"/>
              </w:rPr>
              <w:t>Messsystemanalyse (MSA)</w:t>
            </w:r>
          </w:p>
          <w:p w:rsidR="00695181" w:rsidRPr="007147F4" w:rsidRDefault="00621735" w:rsidP="00621735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621735">
              <w:rPr>
                <w:szCs w:val="20"/>
              </w:rPr>
              <w:t xml:space="preserve">einleitende </w:t>
            </w:r>
            <w:r>
              <w:rPr>
                <w:szCs w:val="20"/>
              </w:rPr>
              <w:t>Prozessfähigkeitsuntersuchungen</w:t>
            </w:r>
          </w:p>
          <w:p w:rsidR="00695181" w:rsidRPr="00621735" w:rsidRDefault="00621735" w:rsidP="00621735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621735">
              <w:rPr>
                <w:szCs w:val="20"/>
              </w:rPr>
              <w:t>Genehmigungen der Verpackung, Erhaltung und</w:t>
            </w:r>
            <w:r>
              <w:rPr>
                <w:szCs w:val="20"/>
              </w:rPr>
              <w:t xml:space="preserve"> </w:t>
            </w:r>
            <w:r w:rsidRPr="00621735">
              <w:rPr>
                <w:szCs w:val="20"/>
              </w:rPr>
              <w:t>Etikettierung</w:t>
            </w:r>
          </w:p>
          <w:p w:rsidR="00695181" w:rsidRPr="007147F4" w:rsidRDefault="00695181" w:rsidP="004F63B6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7147F4">
              <w:rPr>
                <w:szCs w:val="20"/>
              </w:rPr>
              <w:t>Erstmusterprüfbe</w:t>
            </w:r>
            <w:r w:rsidR="00621735">
              <w:rPr>
                <w:szCs w:val="20"/>
              </w:rPr>
              <w:t>richt (FAIR)</w:t>
            </w:r>
          </w:p>
          <w:p w:rsidR="00695181" w:rsidRPr="007147F4" w:rsidRDefault="00695181" w:rsidP="004F63B6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 w:rsidRPr="007147F4">
              <w:rPr>
                <w:szCs w:val="20"/>
              </w:rPr>
              <w:t>Kundenspezifische PPAP Anforderungen</w:t>
            </w:r>
          </w:p>
          <w:p w:rsidR="00695181" w:rsidRPr="007147F4" w:rsidRDefault="00621735" w:rsidP="004F63B6">
            <w:pPr>
              <w:pStyle w:val="Listenabsatz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szCs w:val="20"/>
              </w:rPr>
              <w:t>PPAP-</w:t>
            </w:r>
            <w:r w:rsidR="00695181" w:rsidRPr="007147F4">
              <w:rPr>
                <w:szCs w:val="20"/>
              </w:rPr>
              <w:t>Genehmigungsformular (oder vergleichbare)</w:t>
            </w:r>
          </w:p>
        </w:tc>
      </w:tr>
    </w:tbl>
    <w:p w:rsidR="00257BE1" w:rsidRPr="00BD2B79" w:rsidRDefault="00257BE1">
      <w:pPr>
        <w:rPr>
          <w:szCs w:val="20"/>
          <w:lang w:val="en-US"/>
        </w:rPr>
        <w:sectPr w:rsidR="00257BE1" w:rsidRPr="00BD2B79" w:rsidSect="00257BE1">
          <w:type w:val="continuous"/>
          <w:pgSz w:w="16838" w:h="11906" w:orient="landscape"/>
          <w:pgMar w:top="1417" w:right="1417" w:bottom="1417" w:left="1134" w:header="708" w:footer="708" w:gutter="0"/>
          <w:cols w:space="708"/>
          <w:formProt w:val="0"/>
          <w:docGrid w:linePitch="360"/>
        </w:sectPr>
      </w:pPr>
      <w:bookmarkStart w:id="4" w:name="_GoBack"/>
      <w:bookmarkEnd w:id="4"/>
    </w:p>
    <w:p w:rsidR="00F4194E" w:rsidRPr="00BD2B79" w:rsidRDefault="00F4194E">
      <w:pPr>
        <w:rPr>
          <w:szCs w:val="20"/>
          <w:lang w:val="en-US"/>
        </w:rPr>
      </w:pPr>
    </w:p>
    <w:p w:rsidR="00A85E9C" w:rsidRPr="00BD2B79" w:rsidRDefault="00A85E9C" w:rsidP="00CB53F9">
      <w:pPr>
        <w:spacing w:after="0" w:line="240" w:lineRule="auto"/>
        <w:rPr>
          <w:szCs w:val="20"/>
          <w:lang w:val="en-US"/>
        </w:rPr>
      </w:pPr>
    </w:p>
    <w:tbl>
      <w:tblPr>
        <w:tblStyle w:val="Tabellenraster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518"/>
        <w:gridCol w:w="3047"/>
        <w:gridCol w:w="3048"/>
        <w:gridCol w:w="3048"/>
        <w:gridCol w:w="3048"/>
      </w:tblGrid>
      <w:tr w:rsidR="000757CB" w:rsidTr="003B2724">
        <w:tc>
          <w:tcPr>
            <w:tcW w:w="2518" w:type="dxa"/>
          </w:tcPr>
          <w:p w:rsidR="000757CB" w:rsidRPr="00F4194E" w:rsidRDefault="000757CB" w:rsidP="000757CB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Firma / </w:t>
            </w:r>
            <w:r w:rsidRPr="00F4194E">
              <w:rPr>
                <w:i/>
                <w:szCs w:val="20"/>
                <w:lang w:val="en-US"/>
              </w:rPr>
              <w:t>Company</w:t>
            </w:r>
            <w:r>
              <w:rPr>
                <w:szCs w:val="20"/>
                <w:lang w:val="en-US"/>
              </w:rPr>
              <w:t>:</w:t>
            </w:r>
          </w:p>
        </w:tc>
        <w:tc>
          <w:tcPr>
            <w:tcW w:w="3047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57CB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D835FE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D835FE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="00D835FE">
              <w:rPr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0757CB" w:rsidTr="003B2724">
        <w:tc>
          <w:tcPr>
            <w:tcW w:w="2518" w:type="dxa"/>
          </w:tcPr>
          <w:p w:rsidR="000757CB" w:rsidRPr="00F4194E" w:rsidRDefault="000757CB" w:rsidP="000757CB">
            <w:pPr>
              <w:tabs>
                <w:tab w:val="left" w:pos="708"/>
                <w:tab w:val="left" w:pos="1416"/>
                <w:tab w:val="left" w:pos="2124"/>
                <w:tab w:val="right" w:pos="3390"/>
              </w:tabs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Name / </w:t>
            </w:r>
            <w:r w:rsidRPr="000757CB">
              <w:rPr>
                <w:i/>
                <w:szCs w:val="20"/>
                <w:lang w:val="en-US"/>
              </w:rPr>
              <w:t>Name:</w:t>
            </w:r>
          </w:p>
        </w:tc>
        <w:tc>
          <w:tcPr>
            <w:tcW w:w="3047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0757CB" w:rsidTr="003B2724">
        <w:tc>
          <w:tcPr>
            <w:tcW w:w="2518" w:type="dxa"/>
          </w:tcPr>
          <w:p w:rsidR="000757CB" w:rsidRPr="00F4194E" w:rsidRDefault="000757CB" w:rsidP="00CB53F9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Position / </w:t>
            </w:r>
            <w:r w:rsidRPr="000757CB">
              <w:rPr>
                <w:i/>
                <w:szCs w:val="20"/>
                <w:lang w:val="en-US"/>
              </w:rPr>
              <w:t>Func</w:t>
            </w:r>
            <w:r>
              <w:rPr>
                <w:i/>
                <w:szCs w:val="20"/>
                <w:lang w:val="en-US"/>
              </w:rPr>
              <w:t>t</w:t>
            </w:r>
            <w:r w:rsidRPr="000757CB">
              <w:rPr>
                <w:i/>
                <w:szCs w:val="20"/>
                <w:lang w:val="en-US"/>
              </w:rPr>
              <w:t>ion:</w:t>
            </w:r>
          </w:p>
        </w:tc>
        <w:tc>
          <w:tcPr>
            <w:tcW w:w="3047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E8334C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E8334C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CB53F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  <w:tr w:rsidR="003B2724" w:rsidTr="004F6F09">
        <w:trPr>
          <w:trHeight w:val="851"/>
        </w:trPr>
        <w:tc>
          <w:tcPr>
            <w:tcW w:w="251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</w:p>
        </w:tc>
        <w:tc>
          <w:tcPr>
            <w:tcW w:w="3047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  <w:tc>
          <w:tcPr>
            <w:tcW w:w="3048" w:type="dxa"/>
            <w:vAlign w:val="bottom"/>
          </w:tcPr>
          <w:p w:rsidR="003B2724" w:rsidRPr="00F4194E" w:rsidRDefault="003B2724" w:rsidP="004F6F09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 xml:space="preserve">Unterschrift / </w:t>
            </w:r>
            <w:r>
              <w:rPr>
                <w:i/>
                <w:szCs w:val="20"/>
                <w:lang w:val="en-US"/>
              </w:rPr>
              <w:t>Signature</w:t>
            </w:r>
          </w:p>
        </w:tc>
      </w:tr>
      <w:tr w:rsidR="000757CB" w:rsidTr="003B2724">
        <w:trPr>
          <w:trHeight w:val="20"/>
        </w:trPr>
        <w:tc>
          <w:tcPr>
            <w:tcW w:w="2518" w:type="dxa"/>
          </w:tcPr>
          <w:p w:rsidR="000757CB" w:rsidRPr="00F4194E" w:rsidRDefault="000757CB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t>Datum</w:t>
            </w:r>
            <w:r>
              <w:rPr>
                <w:szCs w:val="20"/>
                <w:lang w:val="en-US"/>
              </w:rPr>
              <w:t>, Ort</w:t>
            </w:r>
            <w:r w:rsidRPr="00F4194E">
              <w:rPr>
                <w:szCs w:val="20"/>
                <w:lang w:val="en-US"/>
              </w:rPr>
              <w:t xml:space="preserve"> / </w:t>
            </w:r>
            <w:r w:rsidRPr="000757CB">
              <w:rPr>
                <w:i/>
                <w:szCs w:val="20"/>
                <w:lang w:val="en-US"/>
              </w:rPr>
              <w:t>Place, Date:</w:t>
            </w:r>
          </w:p>
        </w:tc>
        <w:tc>
          <w:tcPr>
            <w:tcW w:w="3047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57CB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F33B3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="00EF33B3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  <w:tc>
          <w:tcPr>
            <w:tcW w:w="3048" w:type="dxa"/>
          </w:tcPr>
          <w:p w:rsidR="000757CB" w:rsidRPr="00F4194E" w:rsidRDefault="00855DAF" w:rsidP="00B00A9F">
            <w:pPr>
              <w:rPr>
                <w:szCs w:val="20"/>
                <w:lang w:val="en-US"/>
              </w:rPr>
            </w:pPr>
            <w:r w:rsidRPr="00F4194E">
              <w:rPr>
                <w:szCs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757CB" w:rsidRPr="00F4194E">
              <w:rPr>
                <w:szCs w:val="20"/>
                <w:lang w:val="en-US"/>
              </w:rPr>
              <w:instrText xml:space="preserve"> FORMTEXT </w:instrText>
            </w:r>
            <w:r w:rsidRPr="00F4194E">
              <w:rPr>
                <w:szCs w:val="20"/>
                <w:lang w:val="en-US"/>
              </w:rPr>
            </w:r>
            <w:r w:rsidRPr="00F4194E">
              <w:rPr>
                <w:szCs w:val="20"/>
                <w:lang w:val="en-US"/>
              </w:rPr>
              <w:fldChar w:fldCharType="separate"/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="000757CB" w:rsidRPr="00F4194E">
              <w:rPr>
                <w:noProof/>
                <w:szCs w:val="20"/>
                <w:lang w:val="en-US"/>
              </w:rPr>
              <w:t> </w:t>
            </w:r>
            <w:r w:rsidRPr="00F4194E">
              <w:rPr>
                <w:szCs w:val="20"/>
                <w:lang w:val="en-US"/>
              </w:rPr>
              <w:fldChar w:fldCharType="end"/>
            </w:r>
          </w:p>
        </w:tc>
      </w:tr>
    </w:tbl>
    <w:p w:rsidR="00A85E9C" w:rsidRPr="00FA432D" w:rsidRDefault="00A85E9C" w:rsidP="00726715">
      <w:pPr>
        <w:spacing w:after="0" w:line="240" w:lineRule="auto"/>
        <w:rPr>
          <w:szCs w:val="20"/>
          <w:lang w:val="en-US"/>
        </w:rPr>
      </w:pPr>
    </w:p>
    <w:sectPr w:rsidR="00A85E9C" w:rsidRPr="00FA432D" w:rsidSect="00257BE1">
      <w:type w:val="continuous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FD" w:rsidRDefault="00B402FD" w:rsidP="00CB53F9">
      <w:pPr>
        <w:spacing w:after="0" w:line="240" w:lineRule="auto"/>
      </w:pPr>
      <w:r>
        <w:separator/>
      </w:r>
    </w:p>
  </w:endnote>
  <w:endnote w:type="continuationSeparator" w:id="0">
    <w:p w:rsidR="00B402FD" w:rsidRDefault="00B402FD" w:rsidP="00CB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30" w:rsidRPr="00A01EEB" w:rsidRDefault="00070930" w:rsidP="00834DEF">
    <w:pPr>
      <w:pStyle w:val="Fuzeile"/>
      <w:jc w:val="center"/>
      <w:rPr>
        <w:sz w:val="16"/>
        <w:szCs w:val="16"/>
      </w:rPr>
    </w:pPr>
    <w:r w:rsidRPr="00A01EEB">
      <w:rPr>
        <w:sz w:val="16"/>
        <w:szCs w:val="16"/>
      </w:rPr>
      <w:t xml:space="preserve">Seite </w:t>
    </w:r>
    <w:r w:rsidR="00855DAF" w:rsidRPr="00A01EEB">
      <w:rPr>
        <w:b/>
        <w:sz w:val="16"/>
        <w:szCs w:val="16"/>
      </w:rPr>
      <w:fldChar w:fldCharType="begin"/>
    </w:r>
    <w:r w:rsidRPr="00A01EEB">
      <w:rPr>
        <w:b/>
        <w:sz w:val="16"/>
        <w:szCs w:val="16"/>
      </w:rPr>
      <w:instrText>PAGE  \* Arabic  \* MERGEFORMAT</w:instrText>
    </w:r>
    <w:r w:rsidR="00855DAF" w:rsidRPr="00A01EEB">
      <w:rPr>
        <w:b/>
        <w:sz w:val="16"/>
        <w:szCs w:val="16"/>
      </w:rPr>
      <w:fldChar w:fldCharType="separate"/>
    </w:r>
    <w:r w:rsidR="00D835FE">
      <w:rPr>
        <w:b/>
        <w:noProof/>
        <w:sz w:val="16"/>
        <w:szCs w:val="16"/>
      </w:rPr>
      <w:t>2</w:t>
    </w:r>
    <w:r w:rsidR="00855DAF" w:rsidRPr="00A01EEB">
      <w:rPr>
        <w:b/>
        <w:sz w:val="16"/>
        <w:szCs w:val="16"/>
      </w:rPr>
      <w:fldChar w:fldCharType="end"/>
    </w:r>
    <w:r w:rsidRPr="00A01EEB">
      <w:rPr>
        <w:sz w:val="16"/>
        <w:szCs w:val="16"/>
      </w:rPr>
      <w:t xml:space="preserve"> von </w:t>
    </w:r>
    <w:r w:rsidR="00B402FD">
      <w:fldChar w:fldCharType="begin"/>
    </w:r>
    <w:r w:rsidR="00B402FD">
      <w:instrText>NUMPAGES  \* Arabic  \* MERGEFORMAT</w:instrText>
    </w:r>
    <w:r w:rsidR="00B402FD">
      <w:fldChar w:fldCharType="separate"/>
    </w:r>
    <w:r w:rsidR="00D835FE" w:rsidRPr="00D835FE">
      <w:rPr>
        <w:b/>
        <w:noProof/>
        <w:sz w:val="16"/>
        <w:szCs w:val="16"/>
      </w:rPr>
      <w:t>2</w:t>
    </w:r>
    <w:r w:rsidR="00B402FD">
      <w:rPr>
        <w:b/>
        <w:noProof/>
        <w:sz w:val="16"/>
        <w:szCs w:val="16"/>
      </w:rPr>
      <w:fldChar w:fldCharType="end"/>
    </w:r>
  </w:p>
  <w:p w:rsidR="00070930" w:rsidRDefault="000709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FD" w:rsidRDefault="00B402FD" w:rsidP="00CB53F9">
      <w:pPr>
        <w:spacing w:after="0" w:line="240" w:lineRule="auto"/>
      </w:pPr>
      <w:r>
        <w:separator/>
      </w:r>
    </w:p>
  </w:footnote>
  <w:footnote w:type="continuationSeparator" w:id="0">
    <w:p w:rsidR="00B402FD" w:rsidRDefault="00B402FD" w:rsidP="00CB5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81" w:type="dxa"/>
      <w:tblInd w:w="71" w:type="dxa"/>
      <w:tblBorders>
        <w:bottom w:val="single" w:sz="12" w:space="0" w:color="auto"/>
        <w:insideV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26"/>
      <w:gridCol w:w="8978"/>
      <w:gridCol w:w="2677"/>
    </w:tblGrid>
    <w:tr w:rsidR="007647E0" w:rsidTr="007647E0">
      <w:trPr>
        <w:trHeight w:hRule="exact" w:val="888"/>
      </w:trPr>
      <w:tc>
        <w:tcPr>
          <w:tcW w:w="2926" w:type="dxa"/>
          <w:vAlign w:val="center"/>
        </w:tcPr>
        <w:p w:rsidR="007647E0" w:rsidRDefault="007647E0" w:rsidP="00212D31">
          <w:pPr>
            <w:jc w:val="center"/>
            <w:rPr>
              <w:sz w:val="16"/>
            </w:rPr>
          </w:pPr>
          <w:r w:rsidRPr="00F72CE5">
            <w:rPr>
              <w:noProof/>
              <w:sz w:val="16"/>
              <w:lang w:eastAsia="de-DE"/>
            </w:rPr>
            <w:drawing>
              <wp:inline distT="0" distB="0" distL="0" distR="0">
                <wp:extent cx="1122680" cy="370205"/>
                <wp:effectExtent l="19050" t="0" r="1270" b="0"/>
                <wp:docPr id="2" name="Bild 1" descr="\\tka-file\_sycat$\Logo\Aviation_4c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tka-file\_sycat$\Logo\Aviation_4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8" w:type="dxa"/>
          <w:vAlign w:val="center"/>
        </w:tcPr>
        <w:p w:rsidR="007647E0" w:rsidRDefault="007647E0" w:rsidP="007647E0">
          <w:pPr>
            <w:spacing w:after="0"/>
            <w:jc w:val="center"/>
            <w:rPr>
              <w:rFonts w:cs="Arial"/>
              <w:b/>
              <w:sz w:val="28"/>
            </w:rPr>
          </w:pPr>
          <w:bookmarkStart w:id="1" w:name="document_name"/>
          <w:r w:rsidRPr="00F4194E">
            <w:rPr>
              <w:rFonts w:cs="Arial"/>
              <w:b/>
              <w:sz w:val="28"/>
            </w:rPr>
            <w:t>Qualitätssicherungsvereinbarung</w:t>
          </w:r>
        </w:p>
        <w:bookmarkEnd w:id="1"/>
        <w:p w:rsidR="007647E0" w:rsidRPr="00A322B6" w:rsidRDefault="007647E0" w:rsidP="0054695C">
          <w:pPr>
            <w:spacing w:after="0" w:line="281" w:lineRule="auto"/>
            <w:jc w:val="center"/>
            <w:rPr>
              <w:rFonts w:cs="Tahoma"/>
              <w:i/>
              <w:lang w:val="en-US"/>
            </w:rPr>
          </w:pPr>
          <w:r w:rsidRPr="00A322B6">
            <w:rPr>
              <w:rFonts w:cs="Arial"/>
              <w:b/>
              <w:i/>
              <w:sz w:val="28"/>
            </w:rPr>
            <w:t xml:space="preserve">Quality </w:t>
          </w:r>
          <w:r w:rsidR="0054695C">
            <w:rPr>
              <w:rFonts w:cs="Arial"/>
              <w:b/>
              <w:i/>
              <w:sz w:val="28"/>
            </w:rPr>
            <w:t>Assuran</w:t>
          </w:r>
          <w:r w:rsidRPr="00A322B6">
            <w:rPr>
              <w:rFonts w:cs="Arial"/>
              <w:b/>
              <w:i/>
              <w:sz w:val="28"/>
            </w:rPr>
            <w:t>ce Agreement</w:t>
          </w:r>
        </w:p>
      </w:tc>
      <w:tc>
        <w:tcPr>
          <w:tcW w:w="2677" w:type="dxa"/>
          <w:vAlign w:val="center"/>
        </w:tcPr>
        <w:p w:rsidR="007647E0" w:rsidRPr="005928B8" w:rsidRDefault="007647E0" w:rsidP="00212D31">
          <w:pPr>
            <w:tabs>
              <w:tab w:val="center" w:pos="1892"/>
            </w:tabs>
            <w:jc w:val="right"/>
            <w:rPr>
              <w:rFonts w:cs="Tahoma"/>
              <w:lang w:val="en-US"/>
            </w:rPr>
          </w:pPr>
          <w:r>
            <w:rPr>
              <w:rFonts w:cs="Tahoma"/>
              <w:lang w:val="en-US"/>
            </w:rPr>
            <w:t xml:space="preserve">Doc-No: </w:t>
          </w:r>
          <w:bookmarkStart w:id="2" w:name="document_short_name"/>
          <w:r w:rsidRPr="005928B8">
            <w:rPr>
              <w:rFonts w:cs="Tahoma"/>
              <w:lang w:val="en-US"/>
            </w:rPr>
            <w:t>AFO-0016</w:t>
          </w:r>
          <w:bookmarkEnd w:id="2"/>
        </w:p>
        <w:p w:rsidR="007647E0" w:rsidRPr="00C541F4" w:rsidRDefault="007647E0" w:rsidP="001B43A5">
          <w:pPr>
            <w:jc w:val="right"/>
            <w:rPr>
              <w:rFonts w:cs="Tahoma"/>
            </w:rPr>
          </w:pPr>
          <w:r>
            <w:rPr>
              <w:rFonts w:cs="Tahoma"/>
              <w:lang w:val="en-US"/>
            </w:rPr>
            <w:t>Version:</w:t>
          </w:r>
          <w:r w:rsidRPr="005928B8">
            <w:rPr>
              <w:rFonts w:cs="Tahoma"/>
              <w:lang w:val="en-US"/>
            </w:rPr>
            <w:t xml:space="preserve"> </w:t>
          </w:r>
          <w:bookmarkStart w:id="3" w:name="version"/>
          <w:r>
            <w:rPr>
              <w:rFonts w:cs="Tahoma"/>
              <w:lang w:val="en-US"/>
            </w:rPr>
            <w:t>002</w:t>
          </w:r>
          <w:bookmarkEnd w:id="3"/>
        </w:p>
      </w:tc>
    </w:tr>
  </w:tbl>
  <w:p w:rsidR="00070930" w:rsidRPr="00F4194E" w:rsidRDefault="00070930" w:rsidP="00F419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121"/>
    <w:multiLevelType w:val="hybridMultilevel"/>
    <w:tmpl w:val="99B8A7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5A60"/>
    <w:multiLevelType w:val="hybridMultilevel"/>
    <w:tmpl w:val="CEF05E1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B2A4D"/>
    <w:multiLevelType w:val="hybridMultilevel"/>
    <w:tmpl w:val="87541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F614F"/>
    <w:multiLevelType w:val="hybridMultilevel"/>
    <w:tmpl w:val="B5D67A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57DC2"/>
    <w:multiLevelType w:val="hybridMultilevel"/>
    <w:tmpl w:val="A1220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30888"/>
    <w:multiLevelType w:val="hybridMultilevel"/>
    <w:tmpl w:val="1730D5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949A6"/>
    <w:multiLevelType w:val="hybridMultilevel"/>
    <w:tmpl w:val="5D867A36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0477A2"/>
    <w:multiLevelType w:val="hybridMultilevel"/>
    <w:tmpl w:val="8CB0A4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F9"/>
    <w:rsid w:val="00000D4B"/>
    <w:rsid w:val="000465FA"/>
    <w:rsid w:val="00070930"/>
    <w:rsid w:val="00073707"/>
    <w:rsid w:val="000757CB"/>
    <w:rsid w:val="00095526"/>
    <w:rsid w:val="000A2DFD"/>
    <w:rsid w:val="000F1445"/>
    <w:rsid w:val="00174052"/>
    <w:rsid w:val="001779C5"/>
    <w:rsid w:val="001B43A5"/>
    <w:rsid w:val="00257BE1"/>
    <w:rsid w:val="00284992"/>
    <w:rsid w:val="002911F6"/>
    <w:rsid w:val="002D1DFE"/>
    <w:rsid w:val="003B2724"/>
    <w:rsid w:val="003E4AC1"/>
    <w:rsid w:val="0040422E"/>
    <w:rsid w:val="004909BD"/>
    <w:rsid w:val="004B4F3F"/>
    <w:rsid w:val="004E09EE"/>
    <w:rsid w:val="004E3CFB"/>
    <w:rsid w:val="0054695C"/>
    <w:rsid w:val="0057301C"/>
    <w:rsid w:val="005A0339"/>
    <w:rsid w:val="005B58A7"/>
    <w:rsid w:val="005E1205"/>
    <w:rsid w:val="00621735"/>
    <w:rsid w:val="00633A2C"/>
    <w:rsid w:val="00695181"/>
    <w:rsid w:val="006D047C"/>
    <w:rsid w:val="007072CB"/>
    <w:rsid w:val="007147F4"/>
    <w:rsid w:val="00726715"/>
    <w:rsid w:val="007270BE"/>
    <w:rsid w:val="00733804"/>
    <w:rsid w:val="00757237"/>
    <w:rsid w:val="007647E0"/>
    <w:rsid w:val="007B795A"/>
    <w:rsid w:val="00834DEF"/>
    <w:rsid w:val="00855DAF"/>
    <w:rsid w:val="009F00C6"/>
    <w:rsid w:val="00A01EEB"/>
    <w:rsid w:val="00A234B7"/>
    <w:rsid w:val="00A322B6"/>
    <w:rsid w:val="00A57DB8"/>
    <w:rsid w:val="00A85E9C"/>
    <w:rsid w:val="00AA42F7"/>
    <w:rsid w:val="00AE3B84"/>
    <w:rsid w:val="00AE5FF3"/>
    <w:rsid w:val="00B15A85"/>
    <w:rsid w:val="00B1608B"/>
    <w:rsid w:val="00B402FD"/>
    <w:rsid w:val="00B71AA4"/>
    <w:rsid w:val="00BD2B79"/>
    <w:rsid w:val="00BD42F8"/>
    <w:rsid w:val="00BE320F"/>
    <w:rsid w:val="00BF0680"/>
    <w:rsid w:val="00C20D6B"/>
    <w:rsid w:val="00C22729"/>
    <w:rsid w:val="00C5030E"/>
    <w:rsid w:val="00C9039E"/>
    <w:rsid w:val="00CB4EE6"/>
    <w:rsid w:val="00CB53F9"/>
    <w:rsid w:val="00D07613"/>
    <w:rsid w:val="00D4090E"/>
    <w:rsid w:val="00D73266"/>
    <w:rsid w:val="00D835FE"/>
    <w:rsid w:val="00DE3B42"/>
    <w:rsid w:val="00E05F07"/>
    <w:rsid w:val="00E410D2"/>
    <w:rsid w:val="00E47A0D"/>
    <w:rsid w:val="00E47C28"/>
    <w:rsid w:val="00E64E97"/>
    <w:rsid w:val="00E90A1C"/>
    <w:rsid w:val="00EF33B3"/>
    <w:rsid w:val="00F15812"/>
    <w:rsid w:val="00F4194E"/>
    <w:rsid w:val="00FA432D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194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3F9"/>
  </w:style>
  <w:style w:type="paragraph" w:styleId="Fuzeile">
    <w:name w:val="footer"/>
    <w:basedOn w:val="Standard"/>
    <w:link w:val="Fu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3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3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4194E"/>
    <w:pPr>
      <w:spacing w:after="0" w:line="240" w:lineRule="auto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71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194E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53F9"/>
  </w:style>
  <w:style w:type="paragraph" w:styleId="Fuzeile">
    <w:name w:val="footer"/>
    <w:basedOn w:val="Standard"/>
    <w:link w:val="FuzeileZchn"/>
    <w:uiPriority w:val="99"/>
    <w:unhideWhenUsed/>
    <w:rsid w:val="00CB5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53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3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A4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4194E"/>
    <w:pPr>
      <w:spacing w:after="0" w:line="240" w:lineRule="auto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71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19A2-578D-4F17-8BFC-4EEF392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Diehl Comfort Modules GmbH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manfred.leitner@diehl.com</dc:creator>
  <cp:lastModifiedBy>Manfred LEITNER</cp:lastModifiedBy>
  <cp:revision>2</cp:revision>
  <cp:lastPrinted>2018-03-12T10:46:00Z</cp:lastPrinted>
  <dcterms:created xsi:type="dcterms:W3CDTF">2019-09-18T15:18:00Z</dcterms:created>
  <dcterms:modified xsi:type="dcterms:W3CDTF">2019-09-18T15:18:00Z</dcterms:modified>
</cp:coreProperties>
</file>